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6D15" w:rsidRPr="002127DF" w:rsidRDefault="00596D15" w:rsidP="00596D15">
      <w:pPr>
        <w:spacing w:line="360" w:lineRule="auto"/>
        <w:jc w:val="center"/>
        <w:rPr>
          <w:rFonts w:eastAsia="楷体" w:cstheme="minorBidi"/>
          <w:b/>
          <w:color w:val="1F3864" w:themeColor="accent1" w:themeShade="80"/>
          <w:kern w:val="2"/>
          <w:sz w:val="80"/>
          <w:szCs w:val="80"/>
        </w:rPr>
      </w:pPr>
      <w:proofErr w:type="gramStart"/>
      <w:r w:rsidRPr="002127DF">
        <w:rPr>
          <w:rFonts w:eastAsia="楷体" w:hAnsi="楷体" w:cstheme="minorBidi" w:hint="eastAsia"/>
          <w:b/>
          <w:color w:val="1F3864" w:themeColor="accent1" w:themeShade="80"/>
          <w:kern w:val="2"/>
          <w:sz w:val="80"/>
          <w:szCs w:val="80"/>
        </w:rPr>
        <w:t>境外投教投保</w:t>
      </w:r>
      <w:proofErr w:type="gramEnd"/>
      <w:r w:rsidRPr="002127DF">
        <w:rPr>
          <w:rFonts w:eastAsia="楷体" w:hAnsi="楷体" w:cstheme="minorBidi" w:hint="eastAsia"/>
          <w:b/>
          <w:color w:val="1F3864" w:themeColor="accent1" w:themeShade="80"/>
          <w:kern w:val="2"/>
          <w:sz w:val="80"/>
          <w:szCs w:val="80"/>
        </w:rPr>
        <w:t>工作动态</w:t>
      </w:r>
    </w:p>
    <w:p w:rsidR="00596D15" w:rsidRPr="002127DF" w:rsidRDefault="00596D15" w:rsidP="00596D15">
      <w:pPr>
        <w:widowControl w:val="0"/>
        <w:jc w:val="center"/>
        <w:rPr>
          <w:rFonts w:eastAsia="楷体" w:cstheme="minorBidi"/>
          <w:color w:val="1F3864" w:themeColor="accent1" w:themeShade="80"/>
          <w:kern w:val="2"/>
          <w:sz w:val="30"/>
          <w:szCs w:val="30"/>
        </w:rPr>
      </w:pPr>
      <w:r w:rsidRPr="002127DF">
        <w:rPr>
          <w:rFonts w:eastAsia="楷体" w:hAnsi="楷体" w:cstheme="minorBidi" w:hint="eastAsia"/>
          <w:color w:val="1F3864" w:themeColor="accent1" w:themeShade="80"/>
          <w:kern w:val="2"/>
          <w:sz w:val="30"/>
          <w:szCs w:val="30"/>
        </w:rPr>
        <w:t>（二</w:t>
      </w:r>
      <w:r w:rsidRPr="002127DF">
        <w:rPr>
          <w:rFonts w:eastAsia="楷体" w:cstheme="minorBidi" w:hint="eastAsia"/>
          <w:color w:val="1F3864" w:themeColor="accent1" w:themeShade="80"/>
          <w:kern w:val="2"/>
          <w:sz w:val="30"/>
          <w:szCs w:val="30"/>
        </w:rPr>
        <w:t>○</w:t>
      </w:r>
      <w:r w:rsidR="00A64827">
        <w:rPr>
          <w:rFonts w:eastAsia="楷体" w:hAnsi="楷体" w:cstheme="minorBidi" w:hint="eastAsia"/>
          <w:color w:val="1F3864" w:themeColor="accent1" w:themeShade="80"/>
          <w:kern w:val="2"/>
          <w:sz w:val="30"/>
          <w:szCs w:val="30"/>
        </w:rPr>
        <w:t>一九年四</w:t>
      </w:r>
      <w:r w:rsidRPr="002127DF">
        <w:rPr>
          <w:rFonts w:eastAsia="楷体" w:hAnsi="楷体" w:cstheme="minorBidi" w:hint="eastAsia"/>
          <w:color w:val="1F3864" w:themeColor="accent1" w:themeShade="80"/>
          <w:kern w:val="2"/>
          <w:sz w:val="30"/>
          <w:szCs w:val="30"/>
        </w:rPr>
        <w:t>月）</w:t>
      </w:r>
    </w:p>
    <w:p w:rsidR="00596D15" w:rsidRPr="002127DF" w:rsidRDefault="006C59DD" w:rsidP="00596D15">
      <w:pPr>
        <w:spacing w:line="120" w:lineRule="atLeast"/>
        <w:ind w:firstLineChars="50" w:firstLine="150"/>
        <w:rPr>
          <w:rFonts w:eastAsia="楷体"/>
          <w:color w:val="1F3864" w:themeColor="accent1" w:themeShade="80"/>
          <w:sz w:val="30"/>
          <w:szCs w:val="30"/>
        </w:rPr>
      </w:pPr>
      <w:r w:rsidRPr="002127DF">
        <w:rPr>
          <w:rFonts w:eastAsia="楷体" w:hAnsi="楷体" w:cstheme="minorBidi" w:hint="eastAsia"/>
          <w:color w:val="1F3864" w:themeColor="accent1" w:themeShade="80"/>
          <w:kern w:val="2"/>
          <w:sz w:val="30"/>
          <w:szCs w:val="30"/>
        </w:rPr>
        <w:t>二</w:t>
      </w:r>
      <w:r w:rsidRPr="002127DF">
        <w:rPr>
          <w:rFonts w:eastAsia="楷体" w:cstheme="minorBidi" w:hint="eastAsia"/>
          <w:color w:val="1F3864" w:themeColor="accent1" w:themeShade="80"/>
          <w:kern w:val="2"/>
          <w:sz w:val="30"/>
          <w:szCs w:val="30"/>
        </w:rPr>
        <w:t>○</w:t>
      </w:r>
      <w:r w:rsidRPr="002127DF">
        <w:rPr>
          <w:rFonts w:eastAsia="楷体" w:hAnsi="楷体" w:cstheme="minorBidi" w:hint="eastAsia"/>
          <w:color w:val="1F3864" w:themeColor="accent1" w:themeShade="80"/>
          <w:kern w:val="2"/>
          <w:sz w:val="30"/>
          <w:szCs w:val="30"/>
        </w:rPr>
        <w:t>一九</w:t>
      </w:r>
      <w:r w:rsidR="009D05E8" w:rsidRPr="009D05E8">
        <w:rPr>
          <w:sz w:val="30"/>
          <w:szCs w:val="30"/>
        </w:rPr>
        <w:pict>
          <v:shapetype id="_x0000_t32" coordsize="21600,21600" o:spt="32" o:oned="t" path="m,l21600,21600e" filled="f">
            <v:path arrowok="t" fillok="f" o:connecttype="none"/>
            <o:lock v:ext="edit" shapetype="t"/>
          </v:shapetype>
          <v:shape id="自选图形 7" o:spid="_x0000_s1026" type="#_x0000_t32" style="position:absolute;left:0;text-align:left;margin-left:1.5pt;margin-top:29pt;width:409pt;height:1.5pt;z-index:251659264;mso-position-horizontal-relative:text;mso-position-vertical-relative:text" o:gfxdata="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I2mN37UAAAABwEAAA8A&#10;AAAAAAAAAQAgAAAAIgAAAGRycy9kb3ducmV2LnhtbFBLAQIUABQAAAAIAIdO4kB6mBH34gEAAJoD&#10;AAAOAAAAAAAAAAEAIAAAACMBAABkcnMvZTJvRG9jLnhtbFBLBQYAAAAABgAGAFkBAAB3BQAAAAA=&#10;" strokecolor="#1f3763" strokeweight="2.5pt"/>
        </w:pict>
      </w:r>
      <w:r w:rsidR="00596D15" w:rsidRPr="002127DF">
        <w:rPr>
          <w:rFonts w:eastAsia="楷体" w:hAnsi="楷体" w:hint="eastAsia"/>
          <w:color w:val="1F3864" w:themeColor="accent1" w:themeShade="80"/>
          <w:sz w:val="30"/>
          <w:szCs w:val="30"/>
        </w:rPr>
        <w:t>年第一期</w:t>
      </w:r>
    </w:p>
    <w:p w:rsidR="00596D15" w:rsidRPr="002127DF" w:rsidRDefault="00596D15" w:rsidP="00596D15">
      <w:pPr>
        <w:spacing w:line="560" w:lineRule="exact"/>
        <w:rPr>
          <w:rFonts w:eastAsia="黑体"/>
          <w:b/>
          <w:sz w:val="30"/>
          <w:szCs w:val="30"/>
        </w:rPr>
      </w:pPr>
    </w:p>
    <w:p w:rsidR="00596D15" w:rsidRPr="002127DF" w:rsidRDefault="00596D15" w:rsidP="00596D15">
      <w:pPr>
        <w:spacing w:line="560" w:lineRule="exact"/>
        <w:rPr>
          <w:rFonts w:eastAsia="楷体"/>
          <w:b/>
          <w:sz w:val="30"/>
          <w:szCs w:val="30"/>
        </w:rPr>
      </w:pPr>
      <w:r w:rsidRPr="002127DF">
        <w:rPr>
          <w:rFonts w:eastAsia="楷体" w:hAnsi="楷体" w:hint="eastAsia"/>
          <w:b/>
          <w:sz w:val="30"/>
          <w:szCs w:val="30"/>
        </w:rPr>
        <w:t>编者按</w:t>
      </w:r>
    </w:p>
    <w:p w:rsidR="003873B4" w:rsidRPr="002127DF" w:rsidRDefault="003873B4" w:rsidP="00596D15">
      <w:pPr>
        <w:spacing w:line="560" w:lineRule="exact"/>
        <w:rPr>
          <w:rFonts w:eastAsia="楷体"/>
          <w:sz w:val="30"/>
          <w:szCs w:val="30"/>
        </w:rPr>
      </w:pPr>
    </w:p>
    <w:p w:rsidR="00596D15" w:rsidRPr="002127DF" w:rsidRDefault="00596D15" w:rsidP="00596D15">
      <w:pPr>
        <w:ind w:firstLine="555"/>
        <w:jc w:val="both"/>
        <w:rPr>
          <w:rFonts w:eastAsia="楷体"/>
          <w:color w:val="000000" w:themeColor="text1"/>
          <w:sz w:val="30"/>
          <w:szCs w:val="30"/>
        </w:rPr>
      </w:pPr>
      <w:r w:rsidRPr="002127DF">
        <w:rPr>
          <w:rFonts w:eastAsia="楷体" w:hAnsi="楷体" w:hint="eastAsia"/>
          <w:color w:val="000000" w:themeColor="text1"/>
          <w:sz w:val="30"/>
          <w:szCs w:val="30"/>
        </w:rPr>
        <w:t>随着我国内地资本市场不断发展，投资者权益保护体系日趋完善，涵盖制度建设、日常监管的全链条保护格局正在形成。为便于行业同仁及时了解境外市场投资者教育、保护和投资者关系管理等工作的最新制度、政策及活动信息，掌握业内最新做法与经验，通过持续开展相关工作，上</w:t>
      </w:r>
      <w:r w:rsidR="00A64827">
        <w:rPr>
          <w:rFonts w:eastAsia="楷体" w:hAnsi="楷体" w:hint="eastAsia"/>
          <w:color w:val="000000" w:themeColor="text1"/>
          <w:sz w:val="30"/>
          <w:szCs w:val="30"/>
        </w:rPr>
        <w:t>交所投资者服务部组织编写了《境外投教投保工作动态》，供大家参考。</w:t>
      </w:r>
      <w:r w:rsidRPr="002127DF">
        <w:rPr>
          <w:rFonts w:eastAsia="楷体" w:hAnsi="楷体" w:hint="eastAsia"/>
          <w:color w:val="000000" w:themeColor="text1"/>
          <w:sz w:val="30"/>
          <w:szCs w:val="30"/>
        </w:rPr>
        <w:t>以期通过此项尝试为共同</w:t>
      </w:r>
      <w:proofErr w:type="gramStart"/>
      <w:r w:rsidRPr="002127DF">
        <w:rPr>
          <w:rFonts w:eastAsia="楷体" w:hAnsi="楷体" w:hint="eastAsia"/>
          <w:color w:val="000000" w:themeColor="text1"/>
          <w:sz w:val="30"/>
          <w:szCs w:val="30"/>
        </w:rPr>
        <w:t>推动投教投保</w:t>
      </w:r>
      <w:proofErr w:type="gramEnd"/>
      <w:r w:rsidRPr="002127DF">
        <w:rPr>
          <w:rFonts w:eastAsia="楷体" w:hAnsi="楷体" w:hint="eastAsia"/>
          <w:color w:val="000000" w:themeColor="text1"/>
          <w:sz w:val="30"/>
          <w:szCs w:val="30"/>
        </w:rPr>
        <w:t>工作提供信息和智力支持，加快形成融资功能完备、基础制度扎实、市场监管有效、投资者合法权益得到有效保护的多层次资本市场。</w:t>
      </w:r>
    </w:p>
    <w:p w:rsidR="003873B4" w:rsidRPr="002127DF" w:rsidRDefault="003873B4" w:rsidP="003873B4">
      <w:pPr>
        <w:rPr>
          <w:rFonts w:eastAsia="楷体"/>
          <w:sz w:val="30"/>
          <w:szCs w:val="30"/>
        </w:rPr>
      </w:pPr>
    </w:p>
    <w:p w:rsidR="00596D15" w:rsidRPr="00215560" w:rsidRDefault="00215560" w:rsidP="006C59DD">
      <w:pPr>
        <w:spacing w:line="360" w:lineRule="auto"/>
        <w:ind w:left="5700" w:right="600" w:hangingChars="1900" w:hanging="5700"/>
        <w:rPr>
          <w:rFonts w:eastAsia="楷体" w:hAnsi="楷体"/>
          <w:sz w:val="30"/>
          <w:szCs w:val="30"/>
        </w:rPr>
      </w:pPr>
      <w:r>
        <w:rPr>
          <w:rFonts w:eastAsia="楷体" w:hAnsi="楷体" w:hint="eastAsia"/>
          <w:sz w:val="30"/>
          <w:szCs w:val="30"/>
        </w:rPr>
        <w:t xml:space="preserve">                                     </w:t>
      </w:r>
      <w:r w:rsidR="00596D15" w:rsidRPr="002127DF">
        <w:rPr>
          <w:rFonts w:eastAsia="楷体" w:hAnsi="楷体" w:hint="eastAsia"/>
          <w:sz w:val="30"/>
          <w:szCs w:val="30"/>
        </w:rPr>
        <w:t>上海证券交易所投资者服务部</w:t>
      </w:r>
    </w:p>
    <w:p w:rsidR="00596D15" w:rsidRPr="002127DF" w:rsidRDefault="00215560" w:rsidP="00215560">
      <w:pPr>
        <w:spacing w:line="360" w:lineRule="auto"/>
        <w:ind w:right="362"/>
        <w:rPr>
          <w:rFonts w:eastAsia="楷体"/>
          <w:sz w:val="30"/>
          <w:szCs w:val="30"/>
        </w:rPr>
      </w:pPr>
      <w:r>
        <w:rPr>
          <w:rFonts w:eastAsia="楷体" w:hAnsi="楷体" w:hint="eastAsia"/>
          <w:sz w:val="30"/>
          <w:szCs w:val="30"/>
        </w:rPr>
        <w:t xml:space="preserve">                                     </w:t>
      </w:r>
      <w:r w:rsidR="00A64827">
        <w:rPr>
          <w:rFonts w:eastAsia="楷体" w:hAnsi="楷体" w:hint="eastAsia"/>
          <w:sz w:val="30"/>
          <w:szCs w:val="30"/>
        </w:rPr>
        <w:t>二〇一九年四</w:t>
      </w:r>
      <w:r w:rsidR="00596D15" w:rsidRPr="002127DF">
        <w:rPr>
          <w:rFonts w:eastAsia="楷体" w:hAnsi="楷体" w:hint="eastAsia"/>
          <w:sz w:val="30"/>
          <w:szCs w:val="30"/>
        </w:rPr>
        <w:t>月</w:t>
      </w:r>
    </w:p>
    <w:p w:rsidR="00596D15" w:rsidRPr="002127DF" w:rsidRDefault="009D05E8" w:rsidP="00215560">
      <w:pPr>
        <w:spacing w:line="560" w:lineRule="exact"/>
        <w:jc w:val="right"/>
        <w:rPr>
          <w:b/>
          <w:color w:val="1F3864" w:themeColor="accent1" w:themeShade="80"/>
          <w:sz w:val="28"/>
          <w:szCs w:val="28"/>
        </w:rPr>
      </w:pPr>
      <w:r>
        <w:rPr>
          <w:b/>
          <w:color w:val="1F3864" w:themeColor="accent1" w:themeShade="80"/>
          <w:sz w:val="28"/>
          <w:szCs w:val="28"/>
        </w:rPr>
        <w:pict>
          <v:rect id="矩形 6" o:spid="_x0000_s1029" style="position:absolute;left:0;text-align:left;margin-left:-2.25pt;margin-top:9.6pt;width:417pt;height:82.6pt;z-index:-251662336" o:gfxdata="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" fillcolor="#d9e2f3" stroked="f">
            <v:textbox>
              <w:txbxContent>
                <w:p w:rsidR="0073767A" w:rsidRDefault="0073767A" w:rsidP="00596D15">
                  <w:pPr>
                    <w:spacing w:line="500" w:lineRule="exact"/>
                    <w:ind w:firstLineChars="50" w:firstLine="140"/>
                    <w:rPr>
                      <w:rFonts w:ascii="楷体" w:eastAsia="楷体" w:hAnsi="楷体"/>
                      <w:sz w:val="28"/>
                      <w:szCs w:val="28"/>
                    </w:rPr>
                  </w:pPr>
                  <w:r>
                    <w:rPr>
                      <w:rFonts w:ascii="楷体" w:eastAsia="楷体" w:hAnsi="楷体" w:hint="eastAsia"/>
                      <w:sz w:val="28"/>
                      <w:szCs w:val="28"/>
                    </w:rPr>
                    <w:t>主    编：杨  欣             执行编辑：刘</w:t>
                  </w:r>
                  <w:r w:rsidR="00215560">
                    <w:rPr>
                      <w:rFonts w:ascii="楷体" w:eastAsia="楷体" w:hAnsi="楷体" w:hint="eastAsia"/>
                      <w:sz w:val="28"/>
                      <w:szCs w:val="28"/>
                    </w:rPr>
                    <w:t xml:space="preserve">  </w:t>
                  </w:r>
                  <w:proofErr w:type="gramStart"/>
                  <w:r>
                    <w:rPr>
                      <w:rFonts w:ascii="楷体" w:eastAsia="楷体" w:hAnsi="楷体" w:hint="eastAsia"/>
                      <w:sz w:val="28"/>
                      <w:szCs w:val="28"/>
                    </w:rPr>
                    <w:t>蔚</w:t>
                  </w:r>
                  <w:proofErr w:type="gramEnd"/>
                  <w:r>
                    <w:rPr>
                      <w:rFonts w:ascii="楷体" w:eastAsia="楷体" w:hAnsi="楷体" w:hint="eastAsia"/>
                      <w:sz w:val="28"/>
                      <w:szCs w:val="28"/>
                    </w:rPr>
                    <w:t xml:space="preserve">  曾文煜 </w:t>
                  </w:r>
                </w:p>
                <w:p w:rsidR="0073767A" w:rsidRDefault="0073767A" w:rsidP="00596D15">
                  <w:pPr>
                    <w:spacing w:line="500" w:lineRule="exact"/>
                    <w:ind w:firstLineChars="50" w:firstLine="140"/>
                    <w:rPr>
                      <w:rFonts w:ascii="楷体" w:eastAsia="楷体" w:hAnsi="楷体"/>
                      <w:sz w:val="28"/>
                      <w:szCs w:val="28"/>
                    </w:rPr>
                  </w:pPr>
                  <w:r>
                    <w:rPr>
                      <w:rFonts w:ascii="楷体" w:eastAsia="楷体" w:hAnsi="楷体" w:hint="eastAsia"/>
                      <w:sz w:val="28"/>
                      <w:szCs w:val="28"/>
                    </w:rPr>
                    <w:t>本期编辑：</w:t>
                  </w:r>
                  <w:proofErr w:type="gramStart"/>
                  <w:r>
                    <w:rPr>
                      <w:rFonts w:ascii="楷体" w:eastAsia="楷体" w:hAnsi="楷体" w:hint="eastAsia"/>
                      <w:sz w:val="28"/>
                      <w:szCs w:val="28"/>
                    </w:rPr>
                    <w:t>赵晓钧</w:t>
                  </w:r>
                  <w:proofErr w:type="gramEnd"/>
                  <w:r>
                    <w:rPr>
                      <w:rFonts w:ascii="楷体" w:eastAsia="楷体" w:hAnsi="楷体" w:hint="eastAsia"/>
                      <w:sz w:val="28"/>
                      <w:szCs w:val="28"/>
                    </w:rPr>
                    <w:t xml:space="preserve">  王天怡  李姝卉  李雪楠  </w:t>
                  </w:r>
                </w:p>
                <w:p w:rsidR="0073767A" w:rsidRDefault="0073767A" w:rsidP="00596D15">
                  <w:pPr>
                    <w:spacing w:line="500" w:lineRule="exact"/>
                    <w:ind w:firstLineChars="50" w:firstLine="140"/>
                  </w:pPr>
                  <w:r>
                    <w:rPr>
                      <w:rFonts w:ascii="楷体" w:eastAsia="楷体" w:hAnsi="楷体" w:hint="eastAsia"/>
                      <w:sz w:val="28"/>
                      <w:szCs w:val="28"/>
                    </w:rPr>
                    <w:t>电    话：</w:t>
                  </w:r>
                  <w:r>
                    <w:rPr>
                      <w:rFonts w:eastAsia="楷体"/>
                      <w:sz w:val="28"/>
                      <w:szCs w:val="28"/>
                    </w:rPr>
                    <w:t>021- 688</w:t>
                  </w:r>
                  <w:r>
                    <w:rPr>
                      <w:rFonts w:eastAsia="楷体" w:hint="eastAsia"/>
                      <w:sz w:val="28"/>
                      <w:szCs w:val="28"/>
                    </w:rPr>
                    <w:t>28563</w:t>
                  </w:r>
                  <w:r>
                    <w:rPr>
                      <w:rFonts w:ascii="楷体" w:eastAsia="楷体" w:hAnsi="楷体" w:hint="eastAsia"/>
                      <w:sz w:val="28"/>
                      <w:szCs w:val="28"/>
                    </w:rPr>
                    <w:t xml:space="preserve">       电子邮箱：</w:t>
                  </w:r>
                  <w:r>
                    <w:rPr>
                      <w:rFonts w:eastAsia="楷体"/>
                      <w:sz w:val="28"/>
                      <w:szCs w:val="28"/>
                    </w:rPr>
                    <w:t>sse_edu@sse.com.cn</w:t>
                  </w:r>
                </w:p>
              </w:txbxContent>
            </v:textbox>
          </v:rect>
        </w:pict>
      </w:r>
    </w:p>
    <w:p w:rsidR="00596D15" w:rsidRPr="002127DF" w:rsidRDefault="00596D15" w:rsidP="00596D15">
      <w:pPr>
        <w:tabs>
          <w:tab w:val="center" w:pos="4150"/>
        </w:tabs>
        <w:spacing w:line="500" w:lineRule="exact"/>
        <w:rPr>
          <w:b/>
          <w:color w:val="1F3864" w:themeColor="accent1" w:themeShade="80"/>
          <w:sz w:val="28"/>
          <w:szCs w:val="28"/>
        </w:rPr>
      </w:pPr>
      <w:r w:rsidRPr="002127DF">
        <w:rPr>
          <w:rFonts w:eastAsia="宋体" w:hint="eastAsia"/>
          <w:b/>
          <w:color w:val="1F3864" w:themeColor="accent1" w:themeShade="80"/>
          <w:sz w:val="28"/>
          <w:szCs w:val="28"/>
        </w:rPr>
        <w:t xml:space="preserve">  </w:t>
      </w:r>
      <w:r w:rsidRPr="002127DF">
        <w:rPr>
          <w:b/>
          <w:color w:val="1F3864" w:themeColor="accent1" w:themeShade="80"/>
          <w:sz w:val="28"/>
          <w:szCs w:val="28"/>
        </w:rPr>
        <w:br w:type="page"/>
      </w:r>
    </w:p>
    <w:p w:rsidR="00005819" w:rsidRPr="002127DF" w:rsidRDefault="009D05E8" w:rsidP="00D36882">
      <w:pPr>
        <w:rPr>
          <w:rFonts w:eastAsia="宋体"/>
          <w:b/>
          <w:color w:val="1F3864" w:themeColor="accent1" w:themeShade="80"/>
          <w:sz w:val="28"/>
          <w:szCs w:val="28"/>
        </w:rPr>
      </w:pPr>
      <w:r>
        <w:rPr>
          <w:rFonts w:eastAsia="宋体"/>
          <w:b/>
          <w:noProof/>
          <w:color w:val="1F3864" w:themeColor="accent1" w:themeShade="80"/>
          <w:sz w:val="28"/>
          <w:szCs w:val="28"/>
        </w:rPr>
        <w:lastRenderedPageBreak/>
        <w:pict>
          <v:shapetype id="_x0000_t202" coordsize="21600,21600" o:spt="202" path="m,l,21600r21600,l21600,xe">
            <v:stroke joinstyle="miter"/>
            <v:path gradientshapeok="t" o:connecttype="rect"/>
          </v:shapetype>
          <v:shape id="_x0000_s1037" type="#_x0000_t202" style="position:absolute;margin-left:-10.35pt;margin-top:25.5pt;width:435.75pt;height:603pt;z-index:251663360;mso-width-relative:margin;mso-height-relative:margin" strokecolor="#2f5496 [2404]" strokeweight="3pt">
            <v:textbox style="mso-next-textbox:#_x0000_s1037">
              <w:txbxContent>
                <w:p w:rsidR="00D52872" w:rsidRPr="006C59DD" w:rsidRDefault="00D52872" w:rsidP="006D0DC4">
                  <w:pPr>
                    <w:jc w:val="center"/>
                    <w:rPr>
                      <w:rFonts w:ascii="宋体" w:eastAsia="宋体" w:hAnsi="宋体"/>
                      <w:b/>
                      <w:color w:val="1F3864" w:themeColor="accent1" w:themeShade="80"/>
                      <w:sz w:val="21"/>
                      <w:szCs w:val="21"/>
                    </w:rPr>
                  </w:pPr>
                </w:p>
                <w:p w:rsidR="0073767A" w:rsidRPr="00627EB3" w:rsidRDefault="0073767A" w:rsidP="006D0DC4">
                  <w:pPr>
                    <w:jc w:val="center"/>
                    <w:rPr>
                      <w:rFonts w:asciiTheme="majorEastAsia" w:eastAsiaTheme="majorEastAsia" w:hAnsiTheme="majorEastAsia"/>
                      <w:b/>
                      <w:color w:val="1F3864" w:themeColor="accent1" w:themeShade="80"/>
                      <w:sz w:val="44"/>
                      <w:szCs w:val="44"/>
                    </w:rPr>
                  </w:pPr>
                  <w:r w:rsidRPr="00627EB3">
                    <w:rPr>
                      <w:rFonts w:asciiTheme="majorEastAsia" w:eastAsiaTheme="majorEastAsia" w:hAnsiTheme="majorEastAsia" w:hint="eastAsia"/>
                      <w:b/>
                      <w:color w:val="1F3864" w:themeColor="accent1" w:themeShade="80"/>
                      <w:sz w:val="44"/>
                      <w:szCs w:val="44"/>
                    </w:rPr>
                    <w:t>目 录</w:t>
                  </w:r>
                </w:p>
              </w:txbxContent>
            </v:textbox>
          </v:shape>
        </w:pict>
      </w:r>
    </w:p>
    <w:p w:rsidR="00005819" w:rsidRPr="002127DF" w:rsidRDefault="00005819" w:rsidP="00596D15">
      <w:pPr>
        <w:outlineLvl w:val="0"/>
        <w:rPr>
          <w:rFonts w:eastAsia="宋体"/>
          <w:b/>
          <w:color w:val="1F3864" w:themeColor="accent1" w:themeShade="80"/>
          <w:sz w:val="28"/>
          <w:szCs w:val="28"/>
        </w:rPr>
      </w:pPr>
    </w:p>
    <w:p w:rsidR="00596D15" w:rsidRPr="002127DF" w:rsidRDefault="00596D15" w:rsidP="00596D15">
      <w:pPr>
        <w:rPr>
          <w:rFonts w:eastAsia="黑体"/>
          <w:color w:val="1F3864" w:themeColor="accent1" w:themeShade="80"/>
          <w:sz w:val="30"/>
          <w:szCs w:val="30"/>
        </w:rPr>
      </w:pPr>
    </w:p>
    <w:p w:rsidR="007B66DB" w:rsidRPr="002127DF" w:rsidRDefault="009D05E8" w:rsidP="00596D15">
      <w:pPr>
        <w:rPr>
          <w:rFonts w:eastAsia="黑体"/>
          <w:color w:val="1F3864" w:themeColor="accent1" w:themeShade="80"/>
          <w:sz w:val="30"/>
          <w:szCs w:val="30"/>
        </w:rPr>
      </w:pPr>
      <w:r w:rsidRPr="009D05E8">
        <w:rPr>
          <w:rFonts w:eastAsia="宋体"/>
          <w:b/>
          <w:noProof/>
          <w:color w:val="1F3864" w:themeColor="accent1" w:themeShade="80"/>
          <w:sz w:val="28"/>
          <w:szCs w:val="28"/>
        </w:rPr>
        <w:pict>
          <v:shape id="_x0000_s1039" type="#_x0000_t202" style="position:absolute;margin-left:204.75pt;margin-top:.9pt;width:210pt;height:510.75pt;z-index:251665408" stroked="f">
            <v:textbox style="mso-next-textbox:#_x0000_s1039">
              <w:txbxContent>
                <w:p w:rsidR="00D52872" w:rsidRPr="002127DF" w:rsidRDefault="00D52872" w:rsidP="00FC0BC5">
                  <w:pPr>
                    <w:spacing w:line="380" w:lineRule="exact"/>
                    <w:contextualSpacing/>
                    <w:outlineLvl w:val="1"/>
                    <w:rPr>
                      <w:rFonts w:ascii="等线" w:eastAsia="等线" w:hAnsi="等线"/>
                      <w:b/>
                      <w:sz w:val="21"/>
                      <w:szCs w:val="21"/>
                    </w:rPr>
                  </w:pPr>
                  <w:r w:rsidRPr="002127DF">
                    <w:rPr>
                      <w:rFonts w:ascii="等线" w:eastAsia="等线" w:hAnsi="等线" w:cs="Mongolian Baiti" w:hint="eastAsia"/>
                      <w:b/>
                      <w:color w:val="1F3864" w:themeColor="accent1" w:themeShade="80"/>
                      <w:kern w:val="2"/>
                      <w:sz w:val="21"/>
                      <w:szCs w:val="21"/>
                    </w:rPr>
                    <w:t>11</w:t>
                  </w:r>
                  <w:r w:rsidRPr="002127DF">
                    <w:rPr>
                      <w:rFonts w:ascii="等线" w:eastAsia="等线" w:hAnsi="等线"/>
                      <w:b/>
                      <w:sz w:val="21"/>
                      <w:szCs w:val="21"/>
                    </w:rPr>
                    <w:t xml:space="preserve"> </w:t>
                  </w:r>
                  <w:r w:rsidRPr="002127DF">
                    <w:rPr>
                      <w:rFonts w:ascii="等线" w:eastAsia="等线" w:hAnsi="等线" w:hint="eastAsia"/>
                      <w:sz w:val="21"/>
                      <w:szCs w:val="21"/>
                    </w:rPr>
                    <w:t>ESMA：发布2019年风险评估工作计划，持续提升投资者保护水平</w:t>
                  </w:r>
                </w:p>
                <w:p w:rsidR="00D52872" w:rsidRPr="002127DF" w:rsidRDefault="00D52872" w:rsidP="00FC0BC5">
                  <w:pPr>
                    <w:spacing w:line="380" w:lineRule="exact"/>
                    <w:contextualSpacing/>
                    <w:outlineLvl w:val="1"/>
                    <w:rPr>
                      <w:rFonts w:ascii="等线" w:eastAsia="等线" w:hAnsi="等线"/>
                      <w:sz w:val="21"/>
                      <w:szCs w:val="21"/>
                    </w:rPr>
                  </w:pPr>
                  <w:r w:rsidRPr="002127DF">
                    <w:rPr>
                      <w:rFonts w:ascii="等线" w:eastAsia="等线" w:hAnsi="等线" w:cs="Mongolian Baiti" w:hint="eastAsia"/>
                      <w:b/>
                      <w:color w:val="1F3864" w:themeColor="accent1" w:themeShade="80"/>
                      <w:kern w:val="2"/>
                      <w:sz w:val="21"/>
                      <w:szCs w:val="21"/>
                    </w:rPr>
                    <w:t>12</w:t>
                  </w:r>
                  <w:r w:rsidRPr="002127DF">
                    <w:rPr>
                      <w:rFonts w:ascii="等线" w:eastAsia="等线" w:hAnsi="等线" w:hint="eastAsia"/>
                      <w:b/>
                      <w:sz w:val="21"/>
                      <w:szCs w:val="21"/>
                    </w:rPr>
                    <w:t xml:space="preserve"> </w:t>
                  </w:r>
                  <w:r w:rsidRPr="002127DF">
                    <w:rPr>
                      <w:rFonts w:ascii="等线" w:eastAsia="等线" w:hAnsi="等线" w:hint="eastAsia"/>
                      <w:sz w:val="21"/>
                      <w:szCs w:val="21"/>
                    </w:rPr>
                    <w:t>ESMA：发布关于零售投资产品成本和表现的年度统计报告，关注中小投资者保护</w:t>
                  </w:r>
                </w:p>
                <w:p w:rsidR="0073767A" w:rsidRPr="002127DF" w:rsidRDefault="0073767A" w:rsidP="00FC0BC5">
                  <w:pPr>
                    <w:spacing w:line="380" w:lineRule="exact"/>
                    <w:outlineLvl w:val="1"/>
                    <w:rPr>
                      <w:rFonts w:ascii="等线" w:eastAsia="等线" w:hAnsi="等线"/>
                      <w:sz w:val="21"/>
                      <w:szCs w:val="21"/>
                    </w:rPr>
                  </w:pPr>
                  <w:r w:rsidRPr="002127DF">
                    <w:rPr>
                      <w:rFonts w:ascii="等线" w:eastAsia="等线" w:hAnsi="等线" w:cs="Mongolian Baiti" w:hint="eastAsia"/>
                      <w:b/>
                      <w:color w:val="1F3864" w:themeColor="accent1" w:themeShade="80"/>
                      <w:kern w:val="2"/>
                      <w:sz w:val="21"/>
                      <w:szCs w:val="21"/>
                    </w:rPr>
                    <w:t>13</w:t>
                  </w:r>
                  <w:r w:rsidRPr="002127DF">
                    <w:rPr>
                      <w:rFonts w:ascii="等线" w:eastAsia="等线" w:hAnsi="等线"/>
                      <w:b/>
                      <w:sz w:val="21"/>
                      <w:szCs w:val="21"/>
                    </w:rPr>
                    <w:t xml:space="preserve"> </w:t>
                  </w:r>
                  <w:r w:rsidR="00D52872" w:rsidRPr="002127DF">
                    <w:rPr>
                      <w:rFonts w:ascii="等线" w:eastAsia="等线" w:hAnsi="等线" w:hint="eastAsia"/>
                      <w:sz w:val="21"/>
                      <w:szCs w:val="21"/>
                    </w:rPr>
                    <w:t>ESMA：加密资产需要欧盟成员的共同智慧来确保对投资者的保护</w:t>
                  </w:r>
                </w:p>
                <w:p w:rsidR="0073767A" w:rsidRPr="002127DF" w:rsidRDefault="0073767A" w:rsidP="00FC0BC5">
                  <w:pPr>
                    <w:spacing w:line="380" w:lineRule="exact"/>
                    <w:outlineLvl w:val="1"/>
                    <w:rPr>
                      <w:rStyle w:val="tlid-translation"/>
                      <w:rFonts w:ascii="等线" w:eastAsia="等线" w:hAnsi="等线"/>
                      <w:b/>
                      <w:sz w:val="21"/>
                      <w:szCs w:val="21"/>
                    </w:rPr>
                  </w:pPr>
                  <w:r w:rsidRPr="002127DF">
                    <w:rPr>
                      <w:rFonts w:ascii="等线" w:eastAsia="等线" w:hAnsi="等线" w:cs="Mongolian Baiti" w:hint="eastAsia"/>
                      <w:b/>
                      <w:color w:val="1F3864" w:themeColor="accent1" w:themeShade="80"/>
                      <w:kern w:val="2"/>
                      <w:sz w:val="21"/>
                      <w:szCs w:val="21"/>
                    </w:rPr>
                    <w:t>14</w:t>
                  </w:r>
                  <w:r w:rsidRPr="002127DF">
                    <w:rPr>
                      <w:rStyle w:val="tlid-translation"/>
                      <w:rFonts w:ascii="等线" w:eastAsia="等线" w:hAnsi="等线"/>
                      <w:b/>
                      <w:sz w:val="21"/>
                      <w:szCs w:val="21"/>
                    </w:rPr>
                    <w:t xml:space="preserve"> </w:t>
                  </w:r>
                  <w:r w:rsidR="00D52872" w:rsidRPr="002127DF">
                    <w:rPr>
                      <w:rStyle w:val="tlid-translation"/>
                      <w:rFonts w:ascii="等线" w:eastAsia="等线" w:hAnsi="等线" w:hint="eastAsia"/>
                      <w:sz w:val="21"/>
                      <w:szCs w:val="21"/>
                    </w:rPr>
                    <w:t>SEC：</w:t>
                  </w:r>
                  <w:r w:rsidR="00D52872" w:rsidRPr="002127DF">
                    <w:rPr>
                      <w:rStyle w:val="tlid-translation"/>
                      <w:rFonts w:ascii="等线" w:eastAsia="等线" w:hAnsi="等线"/>
                      <w:sz w:val="21"/>
                      <w:szCs w:val="21"/>
                    </w:rPr>
                    <w:t>法院对</w:t>
                  </w:r>
                  <w:r w:rsidR="00D52872" w:rsidRPr="002127DF">
                    <w:rPr>
                      <w:rFonts w:ascii="等线" w:eastAsia="等线" w:hAnsi="等线"/>
                      <w:sz w:val="21"/>
                      <w:szCs w:val="21"/>
                    </w:rPr>
                    <w:t>Woodbridge</w:t>
                  </w:r>
                  <w:r w:rsidR="00D52872" w:rsidRPr="002127DF">
                    <w:rPr>
                      <w:rStyle w:val="tlid-translation"/>
                      <w:rFonts w:ascii="等线" w:eastAsia="等线" w:hAnsi="等线"/>
                      <w:sz w:val="21"/>
                      <w:szCs w:val="21"/>
                    </w:rPr>
                    <w:t>庞氏骗局</w:t>
                  </w:r>
                  <w:r w:rsidR="00D52872" w:rsidRPr="002127DF">
                    <w:rPr>
                      <w:rStyle w:val="tlid-translation"/>
                      <w:rFonts w:ascii="等线" w:eastAsia="等线" w:hAnsi="等线" w:hint="eastAsia"/>
                      <w:sz w:val="21"/>
                      <w:szCs w:val="21"/>
                    </w:rPr>
                    <w:t>经营者开出高额罚款，保护中小投资者权益</w:t>
                  </w:r>
                </w:p>
                <w:p w:rsidR="0073767A" w:rsidRPr="002127DF" w:rsidRDefault="0073767A" w:rsidP="00FC0BC5">
                  <w:pPr>
                    <w:spacing w:line="380" w:lineRule="exact"/>
                    <w:outlineLvl w:val="1"/>
                    <w:rPr>
                      <w:rFonts w:ascii="等线" w:eastAsia="等线" w:hAnsi="等线"/>
                      <w:sz w:val="21"/>
                      <w:szCs w:val="21"/>
                    </w:rPr>
                  </w:pPr>
                  <w:r w:rsidRPr="002127DF">
                    <w:rPr>
                      <w:rFonts w:ascii="等线" w:eastAsia="等线" w:hAnsi="等线" w:cs="Mongolian Baiti" w:hint="eastAsia"/>
                      <w:b/>
                      <w:color w:val="1F3864" w:themeColor="accent1" w:themeShade="80"/>
                      <w:kern w:val="2"/>
                      <w:sz w:val="21"/>
                      <w:szCs w:val="21"/>
                    </w:rPr>
                    <w:t>15</w:t>
                  </w:r>
                  <w:r w:rsidRPr="002127DF">
                    <w:rPr>
                      <w:rFonts w:ascii="等线" w:eastAsia="等线" w:hAnsi="等线"/>
                      <w:sz w:val="21"/>
                      <w:szCs w:val="21"/>
                    </w:rPr>
                    <w:t xml:space="preserve"> </w:t>
                  </w:r>
                  <w:r w:rsidR="00D52872" w:rsidRPr="002127DF">
                    <w:rPr>
                      <w:rFonts w:ascii="等线" w:eastAsia="等线" w:hAnsi="等线" w:hint="eastAsia"/>
                      <w:color w:val="000000" w:themeColor="text1"/>
                      <w:sz w:val="21"/>
                      <w:szCs w:val="21"/>
                    </w:rPr>
                    <w:t>SEC：</w:t>
                  </w:r>
                  <w:r w:rsidR="00D52872" w:rsidRPr="002127DF">
                    <w:rPr>
                      <w:rStyle w:val="tlid-translation"/>
                      <w:rFonts w:ascii="等线" w:eastAsia="等线" w:hAnsi="等线"/>
                      <w:sz w:val="21"/>
                      <w:szCs w:val="21"/>
                    </w:rPr>
                    <w:t>指控在线游戏公司创始人欺诈投资者</w:t>
                  </w:r>
                  <w:r w:rsidR="00D52872" w:rsidRPr="002127DF">
                    <w:rPr>
                      <w:rStyle w:val="tlid-translation"/>
                      <w:rFonts w:ascii="等线" w:eastAsia="等线" w:hAnsi="等线" w:hint="eastAsia"/>
                      <w:sz w:val="21"/>
                      <w:szCs w:val="21"/>
                    </w:rPr>
                    <w:t>，保护投资者权益</w:t>
                  </w:r>
                </w:p>
                <w:p w:rsidR="00D52872" w:rsidRPr="002127DF" w:rsidRDefault="0073767A" w:rsidP="00FC0BC5">
                  <w:pPr>
                    <w:spacing w:line="380" w:lineRule="exact"/>
                    <w:outlineLvl w:val="1"/>
                    <w:rPr>
                      <w:rFonts w:ascii="等线" w:eastAsia="等线" w:hAnsi="等线"/>
                      <w:sz w:val="21"/>
                      <w:szCs w:val="21"/>
                    </w:rPr>
                  </w:pPr>
                  <w:r w:rsidRPr="002127DF">
                    <w:rPr>
                      <w:rFonts w:ascii="等线" w:eastAsia="等线" w:hAnsi="等线" w:cs="Mongolian Baiti" w:hint="eastAsia"/>
                      <w:b/>
                      <w:color w:val="1F3864" w:themeColor="accent1" w:themeShade="80"/>
                      <w:kern w:val="2"/>
                      <w:sz w:val="21"/>
                      <w:szCs w:val="21"/>
                    </w:rPr>
                    <w:t>16</w:t>
                  </w:r>
                  <w:r w:rsidRPr="002127DF">
                    <w:rPr>
                      <w:rFonts w:ascii="等线" w:eastAsia="等线" w:hAnsi="等线"/>
                      <w:b/>
                      <w:sz w:val="21"/>
                      <w:szCs w:val="21"/>
                    </w:rPr>
                    <w:t xml:space="preserve"> </w:t>
                  </w:r>
                  <w:r w:rsidR="00D52872" w:rsidRPr="002127DF">
                    <w:rPr>
                      <w:rFonts w:ascii="等线" w:eastAsia="等线" w:hAnsi="等线" w:hint="eastAsia"/>
                      <w:color w:val="000000" w:themeColor="text1"/>
                      <w:sz w:val="21"/>
                      <w:szCs w:val="21"/>
                    </w:rPr>
                    <w:t>SEC：</w:t>
                  </w:r>
                  <w:r w:rsidR="00D52872" w:rsidRPr="002127DF">
                    <w:rPr>
                      <w:rStyle w:val="tlid-translation"/>
                      <w:rFonts w:ascii="等线" w:eastAsia="等线" w:hAnsi="等线" w:hint="eastAsia"/>
                      <w:sz w:val="21"/>
                      <w:szCs w:val="21"/>
                    </w:rPr>
                    <w:t>叫停</w:t>
                  </w:r>
                  <w:r w:rsidR="00D52872" w:rsidRPr="002127DF">
                    <w:rPr>
                      <w:rStyle w:val="tlid-translation"/>
                      <w:rFonts w:ascii="等线" w:eastAsia="等线" w:hAnsi="等线"/>
                      <w:sz w:val="21"/>
                      <w:szCs w:val="21"/>
                    </w:rPr>
                    <w:t>针对</w:t>
                  </w:r>
                  <w:r w:rsidR="00D52872" w:rsidRPr="002127DF">
                    <w:rPr>
                      <w:rStyle w:val="tlid-translation"/>
                      <w:rFonts w:ascii="等线" w:eastAsia="等线" w:hAnsi="等线" w:hint="eastAsia"/>
                      <w:sz w:val="21"/>
                      <w:szCs w:val="21"/>
                    </w:rPr>
                    <w:t>中小</w:t>
                  </w:r>
                  <w:r w:rsidR="00D52872" w:rsidRPr="002127DF">
                    <w:rPr>
                      <w:rStyle w:val="tlid-translation"/>
                      <w:rFonts w:ascii="等线" w:eastAsia="等线" w:hAnsi="等线"/>
                      <w:sz w:val="21"/>
                      <w:szCs w:val="21"/>
                    </w:rPr>
                    <w:t>投资者的南佛罗里达州</w:t>
                  </w:r>
                  <w:r w:rsidR="00D52872" w:rsidRPr="002127DF">
                    <w:rPr>
                      <w:rStyle w:val="tlid-translation"/>
                      <w:rFonts w:ascii="等线" w:eastAsia="等线" w:hAnsi="等线" w:hint="eastAsia"/>
                      <w:sz w:val="21"/>
                      <w:szCs w:val="21"/>
                    </w:rPr>
                    <w:t>替代性</w:t>
                  </w:r>
                  <w:r w:rsidR="00D52872" w:rsidRPr="002127DF">
                    <w:rPr>
                      <w:rStyle w:val="tlid-translation"/>
                      <w:rFonts w:ascii="等线" w:eastAsia="等线" w:hAnsi="等线"/>
                      <w:sz w:val="21"/>
                      <w:szCs w:val="21"/>
                    </w:rPr>
                    <w:t>投资</w:t>
                  </w:r>
                  <w:r w:rsidR="00D52872" w:rsidRPr="002127DF">
                    <w:rPr>
                      <w:rStyle w:val="tlid-translation"/>
                      <w:rFonts w:ascii="等线" w:eastAsia="等线" w:hAnsi="等线" w:hint="eastAsia"/>
                      <w:sz w:val="21"/>
                      <w:szCs w:val="21"/>
                    </w:rPr>
                    <w:t>计划，保护投资者权益</w:t>
                  </w:r>
                </w:p>
                <w:p w:rsidR="00D52872" w:rsidRPr="002127DF" w:rsidRDefault="0073767A" w:rsidP="00FC0BC5">
                  <w:pPr>
                    <w:spacing w:line="380" w:lineRule="exact"/>
                    <w:outlineLvl w:val="1"/>
                    <w:rPr>
                      <w:rFonts w:ascii="等线" w:eastAsia="等线" w:hAnsi="等线"/>
                      <w:b/>
                      <w:color w:val="000000" w:themeColor="text1"/>
                      <w:sz w:val="21"/>
                      <w:szCs w:val="21"/>
                    </w:rPr>
                  </w:pPr>
                  <w:r w:rsidRPr="002127DF">
                    <w:rPr>
                      <w:rFonts w:ascii="等线" w:eastAsia="等线" w:hAnsi="等线" w:cs="Mongolian Baiti" w:hint="eastAsia"/>
                      <w:b/>
                      <w:color w:val="1F3864" w:themeColor="accent1" w:themeShade="80"/>
                      <w:kern w:val="2"/>
                      <w:sz w:val="21"/>
                      <w:szCs w:val="21"/>
                    </w:rPr>
                    <w:t>17</w:t>
                  </w:r>
                  <w:r w:rsidRPr="002127DF">
                    <w:rPr>
                      <w:rFonts w:ascii="等线" w:eastAsia="等线" w:hAnsi="等线"/>
                      <w:b/>
                      <w:color w:val="000000" w:themeColor="text1"/>
                      <w:sz w:val="21"/>
                      <w:szCs w:val="21"/>
                    </w:rPr>
                    <w:t xml:space="preserve"> </w:t>
                  </w:r>
                  <w:r w:rsidR="00D52872" w:rsidRPr="002127DF">
                    <w:rPr>
                      <w:rFonts w:ascii="等线" w:eastAsia="等线" w:hAnsi="等线" w:cs="Arial" w:hint="eastAsia"/>
                      <w:color w:val="000000" w:themeColor="text1"/>
                      <w:sz w:val="21"/>
                      <w:szCs w:val="21"/>
                      <w:shd w:val="clear" w:color="auto" w:fill="FFFFFF"/>
                    </w:rPr>
                    <w:t>CFTC：</w:t>
                  </w:r>
                  <w:r w:rsidR="00D52872" w:rsidRPr="002127DF">
                    <w:rPr>
                      <w:rStyle w:val="tlid-translation"/>
                      <w:rFonts w:ascii="等线" w:eastAsia="等线" w:hAnsi="等线"/>
                      <w:color w:val="000000" w:themeColor="text1"/>
                      <w:sz w:val="21"/>
                      <w:szCs w:val="21"/>
                    </w:rPr>
                    <w:t>联邦法院命令</w:t>
                  </w:r>
                  <w:r w:rsidR="00D52872" w:rsidRPr="002127DF">
                    <w:rPr>
                      <w:rStyle w:val="tlid-translation"/>
                      <w:rFonts w:ascii="等线" w:eastAsia="等线" w:hAnsi="等线" w:hint="eastAsia"/>
                      <w:color w:val="000000" w:themeColor="text1"/>
                      <w:sz w:val="21"/>
                      <w:szCs w:val="21"/>
                    </w:rPr>
                    <w:t>Hong夫妇</w:t>
                  </w:r>
                  <w:r w:rsidR="00D52872" w:rsidRPr="002127DF">
                    <w:rPr>
                      <w:rStyle w:val="tlid-translation"/>
                      <w:rFonts w:ascii="等线" w:eastAsia="等线" w:hAnsi="等线"/>
                      <w:color w:val="000000" w:themeColor="text1"/>
                      <w:sz w:val="21"/>
                      <w:szCs w:val="21"/>
                    </w:rPr>
                    <w:t>及其公司</w:t>
                  </w:r>
                  <w:r w:rsidR="00D52872" w:rsidRPr="002127DF">
                    <w:rPr>
                      <w:rStyle w:val="tlid-translation"/>
                      <w:rFonts w:ascii="等线" w:eastAsia="等线" w:hAnsi="等线" w:hint="eastAsia"/>
                      <w:color w:val="000000" w:themeColor="text1"/>
                      <w:sz w:val="21"/>
                      <w:szCs w:val="21"/>
                    </w:rPr>
                    <w:t>向因其</w:t>
                  </w:r>
                  <w:r w:rsidR="00D52872" w:rsidRPr="002127DF">
                    <w:rPr>
                      <w:rStyle w:val="tlid-translation"/>
                      <w:rFonts w:ascii="等线" w:eastAsia="等线" w:hAnsi="等线"/>
                      <w:color w:val="000000" w:themeColor="text1"/>
                      <w:sz w:val="21"/>
                      <w:szCs w:val="21"/>
                    </w:rPr>
                    <w:t>期货交易计划</w:t>
                  </w:r>
                  <w:r w:rsidR="00D52872" w:rsidRPr="002127DF">
                    <w:rPr>
                      <w:rStyle w:val="tlid-translation"/>
                      <w:rFonts w:ascii="等线" w:eastAsia="等线" w:hAnsi="等线" w:hint="eastAsia"/>
                      <w:color w:val="000000" w:themeColor="text1"/>
                      <w:sz w:val="21"/>
                      <w:szCs w:val="21"/>
                    </w:rPr>
                    <w:t>受欺诈的客户</w:t>
                  </w:r>
                  <w:r w:rsidR="00D52872" w:rsidRPr="002127DF">
                    <w:rPr>
                      <w:rStyle w:val="tlid-translation"/>
                      <w:rFonts w:ascii="等线" w:eastAsia="等线" w:hAnsi="等线"/>
                      <w:color w:val="000000" w:themeColor="text1"/>
                      <w:sz w:val="21"/>
                      <w:szCs w:val="21"/>
                    </w:rPr>
                    <w:t>支付超过100万美元的</w:t>
                  </w:r>
                  <w:r w:rsidR="00D52872" w:rsidRPr="002127DF">
                    <w:rPr>
                      <w:rStyle w:val="tlid-translation"/>
                      <w:rFonts w:ascii="等线" w:eastAsia="等线" w:hAnsi="等线" w:hint="eastAsia"/>
                      <w:color w:val="000000" w:themeColor="text1"/>
                      <w:sz w:val="21"/>
                      <w:szCs w:val="21"/>
                    </w:rPr>
                    <w:t>赔偿金</w:t>
                  </w:r>
                </w:p>
                <w:p w:rsidR="00D52872" w:rsidRPr="002127DF" w:rsidRDefault="0073767A" w:rsidP="00FC0BC5">
                  <w:pPr>
                    <w:spacing w:line="380" w:lineRule="exact"/>
                    <w:outlineLvl w:val="1"/>
                    <w:rPr>
                      <w:rStyle w:val="tlid-translation"/>
                      <w:rFonts w:ascii="等线" w:eastAsia="等线" w:hAnsi="等线"/>
                      <w:sz w:val="21"/>
                      <w:szCs w:val="21"/>
                    </w:rPr>
                  </w:pPr>
                  <w:r w:rsidRPr="002127DF">
                    <w:rPr>
                      <w:rFonts w:ascii="等线" w:eastAsia="等线" w:hAnsi="等线" w:cs="Mongolian Baiti" w:hint="eastAsia"/>
                      <w:b/>
                      <w:color w:val="1F3864" w:themeColor="accent1" w:themeShade="80"/>
                      <w:kern w:val="2"/>
                      <w:sz w:val="21"/>
                      <w:szCs w:val="21"/>
                    </w:rPr>
                    <w:t>18</w:t>
                  </w:r>
                  <w:r w:rsidRPr="002127DF">
                    <w:rPr>
                      <w:rStyle w:val="tlid-translation"/>
                      <w:rFonts w:ascii="等线" w:eastAsia="等线" w:hAnsi="等线"/>
                      <w:b/>
                      <w:sz w:val="21"/>
                      <w:szCs w:val="21"/>
                    </w:rPr>
                    <w:t xml:space="preserve"> </w:t>
                  </w:r>
                  <w:r w:rsidR="00D52872" w:rsidRPr="002127DF">
                    <w:rPr>
                      <w:rStyle w:val="a8"/>
                      <w:rFonts w:ascii="等线" w:eastAsia="等线" w:hAnsi="等线" w:hint="eastAsia"/>
                      <w:color w:val="000000" w:themeColor="text1"/>
                      <w:sz w:val="21"/>
                      <w:szCs w:val="21"/>
                      <w:u w:val="none"/>
                    </w:rPr>
                    <w:t>SPIC：“</w:t>
                  </w:r>
                  <w:r w:rsidR="00D52872" w:rsidRPr="002127DF">
                    <w:rPr>
                      <w:rStyle w:val="tlid-translation"/>
                      <w:rFonts w:ascii="等线" w:eastAsia="等线" w:hAnsi="等线"/>
                      <w:sz w:val="21"/>
                      <w:szCs w:val="21"/>
                    </w:rPr>
                    <w:t>麦道夫</w:t>
                  </w:r>
                  <w:r w:rsidR="00D52872" w:rsidRPr="002127DF">
                    <w:rPr>
                      <w:rStyle w:val="tlid-translation"/>
                      <w:rFonts w:ascii="等线" w:eastAsia="等线" w:hAnsi="等线" w:hint="eastAsia"/>
                      <w:sz w:val="21"/>
                      <w:szCs w:val="21"/>
                    </w:rPr>
                    <w:t>案”受害者</w:t>
                  </w:r>
                  <w:r w:rsidR="00D52872" w:rsidRPr="002127DF">
                    <w:rPr>
                      <w:rStyle w:val="tlid-translation"/>
                      <w:rFonts w:ascii="等线" w:eastAsia="等线" w:hAnsi="等线"/>
                      <w:sz w:val="21"/>
                      <w:szCs w:val="21"/>
                    </w:rPr>
                    <w:t>第十</w:t>
                  </w:r>
                  <w:r w:rsidR="00D52872" w:rsidRPr="002127DF">
                    <w:rPr>
                      <w:rStyle w:val="tlid-translation"/>
                      <w:rFonts w:ascii="等线" w:eastAsia="等线" w:hAnsi="等线" w:hint="eastAsia"/>
                      <w:sz w:val="21"/>
                      <w:szCs w:val="21"/>
                    </w:rPr>
                    <w:t>次按比例中期分配</w:t>
                  </w:r>
                  <w:r w:rsidR="00D52872" w:rsidRPr="002127DF">
                    <w:rPr>
                      <w:rStyle w:val="tlid-translation"/>
                      <w:rFonts w:ascii="等线" w:eastAsia="等线" w:hAnsi="等线"/>
                      <w:sz w:val="21"/>
                      <w:szCs w:val="21"/>
                    </w:rPr>
                    <w:t>开始</w:t>
                  </w:r>
                  <w:r w:rsidR="00D52872" w:rsidRPr="002127DF">
                    <w:rPr>
                      <w:rStyle w:val="tlid-translation"/>
                      <w:rFonts w:ascii="等线" w:eastAsia="等线" w:hAnsi="等线" w:hint="eastAsia"/>
                      <w:sz w:val="21"/>
                      <w:szCs w:val="21"/>
                    </w:rPr>
                    <w:t>进行</w:t>
                  </w:r>
                </w:p>
                <w:p w:rsidR="00C04F66" w:rsidRPr="002127DF" w:rsidRDefault="00C04F66" w:rsidP="00FC0BC5">
                  <w:pPr>
                    <w:spacing w:line="380" w:lineRule="exact"/>
                    <w:rPr>
                      <w:rFonts w:ascii="等线" w:eastAsia="等线" w:hAnsi="等线"/>
                      <w:sz w:val="21"/>
                      <w:szCs w:val="21"/>
                    </w:rPr>
                  </w:pPr>
                  <w:r w:rsidRPr="002127DF">
                    <w:rPr>
                      <w:rFonts w:ascii="等线" w:eastAsia="等线" w:hAnsi="等线" w:hint="eastAsia"/>
                      <w:b/>
                      <w:color w:val="1F3864" w:themeColor="accent1" w:themeShade="80"/>
                      <w:sz w:val="21"/>
                      <w:szCs w:val="21"/>
                    </w:rPr>
                    <w:t>19</w:t>
                  </w:r>
                  <w:r w:rsidRPr="002127DF">
                    <w:rPr>
                      <w:rFonts w:ascii="等线" w:eastAsia="等线" w:hAnsi="等线" w:hint="eastAsia"/>
                      <w:sz w:val="21"/>
                      <w:szCs w:val="21"/>
                    </w:rPr>
                    <w:t xml:space="preserve"> MOEX：发布中小投资者最新情况——数量突破200万大关</w:t>
                  </w:r>
                </w:p>
                <w:p w:rsidR="0073767A" w:rsidRPr="002127DF" w:rsidRDefault="00C04F66" w:rsidP="00FC0BC5">
                  <w:pPr>
                    <w:spacing w:line="380" w:lineRule="exact"/>
                    <w:rPr>
                      <w:rFonts w:ascii="等线" w:eastAsia="等线" w:hAnsi="等线"/>
                      <w:sz w:val="21"/>
                      <w:szCs w:val="21"/>
                    </w:rPr>
                  </w:pPr>
                  <w:r w:rsidRPr="002127DF">
                    <w:rPr>
                      <w:rFonts w:ascii="等线" w:eastAsia="等线" w:hAnsi="等线" w:hint="eastAsia"/>
                      <w:b/>
                      <w:color w:val="1F3864" w:themeColor="accent1" w:themeShade="80"/>
                      <w:sz w:val="21"/>
                      <w:szCs w:val="21"/>
                    </w:rPr>
                    <w:t>20</w:t>
                  </w:r>
                  <w:r w:rsidRPr="002127DF">
                    <w:rPr>
                      <w:rFonts w:ascii="等线" w:eastAsia="等线" w:hAnsi="等线" w:hint="eastAsia"/>
                      <w:sz w:val="21"/>
                      <w:szCs w:val="21"/>
                    </w:rPr>
                    <w:t>马来西亚证券交易所：扩大交易功能，为投资者提供更多投资机会</w:t>
                  </w:r>
                </w:p>
                <w:p w:rsidR="00215560" w:rsidRPr="00C04F66" w:rsidRDefault="00215560" w:rsidP="00C04F66">
                  <w:pPr>
                    <w:rPr>
                      <w:rFonts w:ascii="黑体" w:eastAsia="黑体" w:hAnsi="黑体"/>
                    </w:rPr>
                  </w:pPr>
                </w:p>
                <w:p w:rsidR="00D52872" w:rsidRDefault="0073767A" w:rsidP="003873B4">
                  <w:pPr>
                    <w:outlineLvl w:val="0"/>
                    <w:rPr>
                      <w:rFonts w:asciiTheme="majorEastAsia" w:eastAsiaTheme="majorEastAsia" w:hAnsiTheme="majorEastAsia"/>
                      <w:color w:val="1F3864" w:themeColor="accent1" w:themeShade="80"/>
                    </w:rPr>
                  </w:pPr>
                  <w:r w:rsidRPr="00D52872">
                    <w:rPr>
                      <w:rFonts w:asciiTheme="majorEastAsia" w:eastAsiaTheme="majorEastAsia" w:hAnsiTheme="majorEastAsia" w:hint="eastAsia"/>
                      <w:b/>
                      <w:color w:val="1F3864" w:themeColor="accent1" w:themeShade="80"/>
                    </w:rPr>
                    <w:t>投资者关系管理</w:t>
                  </w:r>
                  <w:r w:rsidRPr="00D52872">
                    <w:rPr>
                      <w:rFonts w:asciiTheme="majorEastAsia" w:eastAsiaTheme="majorEastAsia" w:hAnsiTheme="majorEastAsia" w:hint="eastAsia"/>
                      <w:color w:val="1F3864" w:themeColor="accent1" w:themeShade="80"/>
                    </w:rPr>
                    <w:t xml:space="preserve"> </w:t>
                  </w:r>
                </w:p>
                <w:p w:rsidR="0073767A" w:rsidRDefault="0073767A" w:rsidP="003873B4">
                  <w:pPr>
                    <w:outlineLvl w:val="0"/>
                    <w:rPr>
                      <w:rFonts w:asciiTheme="majorEastAsia" w:eastAsiaTheme="majorEastAsia" w:hAnsiTheme="majorEastAsia"/>
                      <w:b/>
                      <w:color w:val="1F3864" w:themeColor="accent1" w:themeShade="80"/>
                      <w:kern w:val="2"/>
                    </w:rPr>
                  </w:pPr>
                  <w:r w:rsidRPr="00D52872">
                    <w:rPr>
                      <w:rFonts w:asciiTheme="majorEastAsia" w:eastAsiaTheme="majorEastAsia" w:hAnsiTheme="majorEastAsia"/>
                      <w:b/>
                      <w:color w:val="1F3864" w:themeColor="accent1" w:themeShade="80"/>
                      <w:kern w:val="2"/>
                    </w:rPr>
                    <w:t xml:space="preserve">INVESTOR </w:t>
                  </w:r>
                  <w:r w:rsidRPr="00D52872">
                    <w:rPr>
                      <w:rFonts w:asciiTheme="majorEastAsia" w:eastAsiaTheme="majorEastAsia" w:hAnsiTheme="majorEastAsia" w:hint="eastAsia"/>
                      <w:b/>
                      <w:color w:val="1F3864" w:themeColor="accent1" w:themeShade="80"/>
                      <w:kern w:val="2"/>
                    </w:rPr>
                    <w:t>RELATIONS MANAGEMENT</w:t>
                  </w:r>
                </w:p>
                <w:p w:rsidR="0073767A" w:rsidRPr="002127DF" w:rsidRDefault="0073767A" w:rsidP="00FC0BC5">
                  <w:pPr>
                    <w:spacing w:line="380" w:lineRule="exact"/>
                    <w:contextualSpacing/>
                    <w:outlineLvl w:val="1"/>
                    <w:rPr>
                      <w:rFonts w:ascii="等线" w:eastAsia="等线" w:hAnsi="等线"/>
                      <w:sz w:val="21"/>
                      <w:szCs w:val="21"/>
                    </w:rPr>
                  </w:pPr>
                  <w:r w:rsidRPr="002127DF">
                    <w:rPr>
                      <w:rFonts w:ascii="等线" w:eastAsia="等线" w:hAnsi="等线" w:hint="eastAsia"/>
                      <w:b/>
                      <w:color w:val="1F3864" w:themeColor="accent1" w:themeShade="80"/>
                      <w:sz w:val="21"/>
                      <w:szCs w:val="21"/>
                    </w:rPr>
                    <w:t>21</w:t>
                  </w:r>
                  <w:r w:rsidRPr="002127DF">
                    <w:rPr>
                      <w:rFonts w:ascii="等线" w:eastAsia="等线" w:hAnsi="等线"/>
                      <w:sz w:val="21"/>
                      <w:szCs w:val="21"/>
                    </w:rPr>
                    <w:t xml:space="preserve"> </w:t>
                  </w:r>
                  <w:r w:rsidR="00D52872" w:rsidRPr="002127DF">
                    <w:rPr>
                      <w:rFonts w:ascii="等线" w:eastAsia="等线" w:hAnsi="等线" w:hint="eastAsia"/>
                      <w:sz w:val="21"/>
                      <w:szCs w:val="21"/>
                    </w:rPr>
                    <w:t>NIRI：</w:t>
                  </w:r>
                  <w:r w:rsidR="00D52872" w:rsidRPr="002127DF">
                    <w:rPr>
                      <w:rFonts w:ascii="等线" w:eastAsia="等线" w:hAnsi="等线"/>
                      <w:sz w:val="21"/>
                      <w:szCs w:val="21"/>
                    </w:rPr>
                    <w:t>发布新的ESG政策声明</w:t>
                  </w:r>
                </w:p>
                <w:p w:rsidR="0073767A" w:rsidRPr="002127DF" w:rsidRDefault="0073767A" w:rsidP="00FC0BC5">
                  <w:pPr>
                    <w:spacing w:line="380" w:lineRule="exact"/>
                    <w:outlineLvl w:val="1"/>
                    <w:rPr>
                      <w:rFonts w:ascii="等线" w:eastAsia="等线" w:hAnsi="等线"/>
                      <w:sz w:val="21"/>
                      <w:szCs w:val="21"/>
                    </w:rPr>
                  </w:pPr>
                  <w:r w:rsidRPr="002127DF">
                    <w:rPr>
                      <w:rFonts w:ascii="等线" w:eastAsia="等线" w:hAnsi="等线" w:hint="eastAsia"/>
                      <w:b/>
                      <w:color w:val="1F3864" w:themeColor="accent1" w:themeShade="80"/>
                      <w:sz w:val="21"/>
                      <w:szCs w:val="21"/>
                    </w:rPr>
                    <w:t>22</w:t>
                  </w:r>
                  <w:r w:rsidR="00D52872" w:rsidRPr="002127DF">
                    <w:rPr>
                      <w:rFonts w:ascii="等线" w:eastAsia="等线" w:hAnsi="等线" w:hint="eastAsia"/>
                      <w:sz w:val="21"/>
                      <w:szCs w:val="21"/>
                    </w:rPr>
                    <w:t xml:space="preserve"> NIRI：</w:t>
                  </w:r>
                  <w:r w:rsidR="006E783B">
                    <w:rPr>
                      <w:rFonts w:ascii="等线" w:eastAsia="等线" w:hAnsi="等线"/>
                      <w:sz w:val="21"/>
                      <w:szCs w:val="21"/>
                    </w:rPr>
                    <w:t>鼓励</w:t>
                  </w:r>
                  <w:r w:rsidR="00D52872" w:rsidRPr="002127DF">
                    <w:rPr>
                      <w:rFonts w:ascii="等线" w:eastAsia="等线" w:hAnsi="等线"/>
                      <w:sz w:val="21"/>
                      <w:szCs w:val="21"/>
                    </w:rPr>
                    <w:t>公司</w:t>
                  </w:r>
                  <w:r w:rsidR="006E783B">
                    <w:rPr>
                      <w:rFonts w:ascii="等线" w:eastAsia="等线" w:hAnsi="等线" w:hint="eastAsia"/>
                      <w:sz w:val="21"/>
                      <w:szCs w:val="21"/>
                    </w:rPr>
                    <w:t>披露</w:t>
                  </w:r>
                  <w:r w:rsidR="00D52872" w:rsidRPr="002127DF">
                    <w:rPr>
                      <w:rFonts w:ascii="等线" w:eastAsia="等线" w:hAnsi="等线"/>
                      <w:sz w:val="21"/>
                      <w:szCs w:val="21"/>
                    </w:rPr>
                    <w:t>特定的ESG指标</w:t>
                  </w:r>
                </w:p>
              </w:txbxContent>
            </v:textbox>
          </v:shape>
        </w:pict>
      </w:r>
      <w:r w:rsidRPr="009D05E8">
        <w:rPr>
          <w:rFonts w:eastAsia="宋体"/>
          <w:b/>
          <w:noProof/>
          <w:color w:val="1F3864" w:themeColor="accent1" w:themeShade="80"/>
          <w:sz w:val="28"/>
          <w:szCs w:val="28"/>
        </w:rPr>
        <w:pict>
          <v:shape id="_x0000_s1038" type="#_x0000_t202" style="position:absolute;margin-left:5.25pt;margin-top:7.65pt;width:199.5pt;height:507.75pt;z-index:251664384" stroked="f">
            <v:textbox style="mso-next-textbox:#_x0000_s1038">
              <w:txbxContent>
                <w:p w:rsidR="00C04F66" w:rsidRPr="00044DBE" w:rsidRDefault="002709A0" w:rsidP="002709A0">
                  <w:pPr>
                    <w:contextualSpacing/>
                    <w:rPr>
                      <w:rFonts w:ascii="黑体" w:eastAsia="黑体" w:hAnsi="黑体" w:cs="黑体"/>
                      <w:b/>
                      <w:color w:val="1F3864" w:themeColor="accent1" w:themeShade="80"/>
                    </w:rPr>
                  </w:pPr>
                  <w:r w:rsidRPr="00044DBE">
                    <w:rPr>
                      <w:rFonts w:ascii="黑体" w:eastAsia="黑体" w:hAnsi="黑体" w:cs="黑体" w:hint="eastAsia"/>
                      <w:b/>
                      <w:color w:val="1F3864" w:themeColor="accent1" w:themeShade="80"/>
                    </w:rPr>
                    <w:t>投资者教育 INVESTOR EDUCATION</w:t>
                  </w:r>
                </w:p>
                <w:p w:rsidR="002709A0" w:rsidRPr="002127DF" w:rsidRDefault="002709A0" w:rsidP="00FC0BC5">
                  <w:pPr>
                    <w:spacing w:line="380" w:lineRule="exact"/>
                    <w:rPr>
                      <w:rFonts w:ascii="等线" w:eastAsia="等线" w:hAnsi="等线" w:cs="黑体"/>
                      <w:sz w:val="21"/>
                      <w:szCs w:val="21"/>
                    </w:rPr>
                  </w:pPr>
                  <w:r w:rsidRPr="002127DF">
                    <w:rPr>
                      <w:rFonts w:ascii="等线" w:eastAsia="等线" w:hAnsi="等线" w:cs="黑体" w:hint="eastAsia"/>
                      <w:b/>
                      <w:color w:val="1F3864" w:themeColor="accent1" w:themeShade="80"/>
                      <w:sz w:val="21"/>
                      <w:szCs w:val="21"/>
                    </w:rPr>
                    <w:t>01</w:t>
                  </w:r>
                  <w:r w:rsidRPr="002127DF">
                    <w:rPr>
                      <w:rFonts w:ascii="等线" w:eastAsia="等线" w:hAnsi="等线" w:cs="黑体" w:hint="eastAsia"/>
                      <w:sz w:val="21"/>
                      <w:szCs w:val="21"/>
                    </w:rPr>
                    <w:t xml:space="preserve"> WFE：发布第二份关于推动国际投资者参与新兴市场因素的报告</w:t>
                  </w:r>
                </w:p>
                <w:p w:rsidR="002709A0" w:rsidRPr="002127DF" w:rsidRDefault="002709A0" w:rsidP="00FC0BC5">
                  <w:pPr>
                    <w:spacing w:line="380" w:lineRule="exact"/>
                    <w:rPr>
                      <w:rFonts w:ascii="等线" w:eastAsia="等线" w:hAnsi="等线" w:cs="黑体"/>
                      <w:sz w:val="21"/>
                      <w:szCs w:val="21"/>
                    </w:rPr>
                  </w:pPr>
                  <w:r w:rsidRPr="002127DF">
                    <w:rPr>
                      <w:rFonts w:ascii="等线" w:eastAsia="等线" w:hAnsi="等线" w:cs="黑体" w:hint="eastAsia"/>
                      <w:b/>
                      <w:color w:val="1F3864" w:themeColor="accent1" w:themeShade="80"/>
                      <w:sz w:val="21"/>
                      <w:szCs w:val="21"/>
                    </w:rPr>
                    <w:t>02</w:t>
                  </w:r>
                  <w:r w:rsidRPr="002127DF">
                    <w:rPr>
                      <w:rFonts w:ascii="等线" w:eastAsia="等线" w:hAnsi="等线" w:cs="黑体" w:hint="eastAsia"/>
                      <w:sz w:val="21"/>
                      <w:szCs w:val="21"/>
                    </w:rPr>
                    <w:t>美国“跳跃起飞”组织：举办“检查你的学校”活动，向青少年介绍财经知识</w:t>
                  </w:r>
                </w:p>
                <w:p w:rsidR="002709A0" w:rsidRPr="002127DF" w:rsidRDefault="002709A0" w:rsidP="00FC0BC5">
                  <w:pPr>
                    <w:spacing w:line="380" w:lineRule="exact"/>
                    <w:rPr>
                      <w:rFonts w:ascii="等线" w:eastAsia="等线" w:hAnsi="等线" w:cs="黑体"/>
                      <w:sz w:val="21"/>
                      <w:szCs w:val="21"/>
                    </w:rPr>
                  </w:pPr>
                  <w:r w:rsidRPr="002127DF">
                    <w:rPr>
                      <w:rFonts w:ascii="等线" w:eastAsia="等线" w:hAnsi="等线" w:cs="黑体" w:hint="eastAsia"/>
                      <w:b/>
                      <w:color w:val="1F3864" w:themeColor="accent1" w:themeShade="80"/>
                      <w:sz w:val="21"/>
                      <w:szCs w:val="21"/>
                    </w:rPr>
                    <w:t>03</w:t>
                  </w:r>
                  <w:r w:rsidRPr="002127DF">
                    <w:rPr>
                      <w:rFonts w:ascii="等线" w:eastAsia="等线" w:hAnsi="等线" w:cs="黑体" w:hint="eastAsia"/>
                      <w:sz w:val="21"/>
                      <w:szCs w:val="21"/>
                    </w:rPr>
                    <w:t xml:space="preserve"> FRB：启动互动移动应用程序，向小学生介绍美联储货币的安全性和设计特征</w:t>
                  </w:r>
                </w:p>
                <w:p w:rsidR="002709A0" w:rsidRPr="002127DF" w:rsidRDefault="002709A0" w:rsidP="00FC0BC5">
                  <w:pPr>
                    <w:spacing w:line="380" w:lineRule="exact"/>
                    <w:rPr>
                      <w:rFonts w:ascii="等线" w:eastAsia="等线" w:hAnsi="等线" w:cs="黑体"/>
                      <w:sz w:val="21"/>
                      <w:szCs w:val="21"/>
                    </w:rPr>
                  </w:pPr>
                  <w:r w:rsidRPr="002127DF">
                    <w:rPr>
                      <w:rFonts w:ascii="等线" w:eastAsia="等线" w:hAnsi="等线" w:cs="黑体" w:hint="eastAsia"/>
                      <w:b/>
                      <w:color w:val="1F3864" w:themeColor="accent1" w:themeShade="80"/>
                      <w:sz w:val="21"/>
                      <w:szCs w:val="21"/>
                    </w:rPr>
                    <w:t>04</w:t>
                  </w:r>
                  <w:r w:rsidRPr="002127DF">
                    <w:rPr>
                      <w:rFonts w:ascii="等线" w:eastAsia="等线" w:hAnsi="等线" w:cs="黑体" w:hint="eastAsia"/>
                      <w:sz w:val="21"/>
                      <w:szCs w:val="21"/>
                    </w:rPr>
                    <w:t xml:space="preserve"> IFEC：公布《理财能力策略2019》</w:t>
                  </w:r>
                </w:p>
                <w:p w:rsidR="002709A0" w:rsidRPr="002127DF" w:rsidRDefault="002709A0" w:rsidP="00FC0BC5">
                  <w:pPr>
                    <w:spacing w:line="380" w:lineRule="exact"/>
                    <w:rPr>
                      <w:rFonts w:ascii="等线" w:eastAsia="等线" w:hAnsi="等线" w:cs="黑体"/>
                      <w:sz w:val="21"/>
                      <w:szCs w:val="21"/>
                    </w:rPr>
                  </w:pPr>
                  <w:r w:rsidRPr="002127DF">
                    <w:rPr>
                      <w:rFonts w:ascii="等线" w:eastAsia="等线" w:hAnsi="等线" w:cs="黑体" w:hint="eastAsia"/>
                      <w:b/>
                      <w:color w:val="1F3864" w:themeColor="accent1" w:themeShade="80"/>
                      <w:sz w:val="21"/>
                      <w:szCs w:val="21"/>
                    </w:rPr>
                    <w:t>05</w:t>
                  </w:r>
                  <w:r w:rsidRPr="002127DF">
                    <w:rPr>
                      <w:rFonts w:ascii="等线" w:eastAsia="等线" w:hAnsi="等线" w:cs="黑体" w:hint="eastAsia"/>
                      <w:sz w:val="21"/>
                      <w:szCs w:val="21"/>
                    </w:rPr>
                    <w:t xml:space="preserve"> IFEC：调查显示——逾半香港成年人理财感后悔</w:t>
                  </w:r>
                </w:p>
                <w:p w:rsidR="002709A0" w:rsidRPr="002127DF" w:rsidRDefault="002709A0" w:rsidP="00FC0BC5">
                  <w:pPr>
                    <w:spacing w:line="380" w:lineRule="exact"/>
                    <w:rPr>
                      <w:rFonts w:ascii="等线" w:eastAsia="等线" w:hAnsi="等线" w:cs="黑体"/>
                      <w:sz w:val="21"/>
                      <w:szCs w:val="21"/>
                    </w:rPr>
                  </w:pPr>
                  <w:r w:rsidRPr="002127DF">
                    <w:rPr>
                      <w:rFonts w:ascii="等线" w:eastAsia="等线" w:hAnsi="等线" w:cs="黑体" w:hint="eastAsia"/>
                      <w:b/>
                      <w:color w:val="1F3864" w:themeColor="accent1" w:themeShade="80"/>
                      <w:sz w:val="21"/>
                      <w:szCs w:val="21"/>
                    </w:rPr>
                    <w:t>06</w:t>
                  </w:r>
                  <w:r w:rsidRPr="002127DF">
                    <w:rPr>
                      <w:rFonts w:ascii="等线" w:eastAsia="等线" w:hAnsi="等线" w:cs="黑体" w:hint="eastAsia"/>
                      <w:sz w:val="21"/>
                      <w:szCs w:val="21"/>
                    </w:rPr>
                    <w:t>马来西亚证券交易所：在槟城举办金融投资博览会，启动零售投资年</w:t>
                  </w:r>
                </w:p>
                <w:p w:rsidR="002709A0" w:rsidRPr="002127DF" w:rsidRDefault="002709A0" w:rsidP="00FC0BC5">
                  <w:pPr>
                    <w:spacing w:line="380" w:lineRule="exact"/>
                    <w:rPr>
                      <w:rFonts w:ascii="等线" w:eastAsia="等线" w:hAnsi="等线" w:cs="黑体"/>
                      <w:sz w:val="21"/>
                      <w:szCs w:val="21"/>
                    </w:rPr>
                  </w:pPr>
                  <w:r w:rsidRPr="002127DF">
                    <w:rPr>
                      <w:rFonts w:ascii="等线" w:eastAsia="等线" w:hAnsi="等线" w:cs="黑体" w:hint="eastAsia"/>
                      <w:b/>
                      <w:color w:val="1F3864" w:themeColor="accent1" w:themeShade="80"/>
                      <w:sz w:val="21"/>
                      <w:szCs w:val="21"/>
                    </w:rPr>
                    <w:t>07</w:t>
                  </w:r>
                  <w:r w:rsidRPr="002127DF">
                    <w:rPr>
                      <w:rFonts w:ascii="等线" w:eastAsia="等线" w:hAnsi="等线" w:cs="黑体" w:hint="eastAsia"/>
                      <w:sz w:val="21"/>
                      <w:szCs w:val="21"/>
                    </w:rPr>
                    <w:t>台交所：推出证券知识系列漫画“谁是我的黄金股骑士”第三集“洗钱防治/逐笔交易篇”</w:t>
                  </w:r>
                </w:p>
                <w:p w:rsidR="00215560" w:rsidRPr="00215560" w:rsidRDefault="00215560" w:rsidP="002709A0">
                  <w:pPr>
                    <w:rPr>
                      <w:rFonts w:ascii="黑体" w:eastAsia="黑体" w:hAnsi="黑体" w:cs="黑体"/>
                      <w:b/>
                      <w:sz w:val="28"/>
                      <w:szCs w:val="28"/>
                    </w:rPr>
                  </w:pPr>
                </w:p>
                <w:p w:rsidR="00627EB3" w:rsidRDefault="002709A0" w:rsidP="002709A0">
                  <w:pPr>
                    <w:rPr>
                      <w:rFonts w:ascii="黑体" w:eastAsia="黑体" w:hAnsi="黑体" w:cs="黑体"/>
                      <w:b/>
                      <w:color w:val="1F3864" w:themeColor="accent1" w:themeShade="80"/>
                    </w:rPr>
                  </w:pPr>
                  <w:r w:rsidRPr="002709A0">
                    <w:rPr>
                      <w:rFonts w:ascii="黑体" w:eastAsia="黑体" w:hAnsi="黑体" w:cs="黑体" w:hint="eastAsia"/>
                      <w:b/>
                      <w:color w:val="1F3864" w:themeColor="accent1" w:themeShade="80"/>
                    </w:rPr>
                    <w:t>投资者保护 INVESTOR PROTECTION</w:t>
                  </w:r>
                </w:p>
                <w:p w:rsidR="002709A0" w:rsidRPr="002127DF" w:rsidRDefault="002709A0" w:rsidP="00FC0BC5">
                  <w:pPr>
                    <w:spacing w:line="380" w:lineRule="exact"/>
                    <w:rPr>
                      <w:rFonts w:ascii="等线" w:eastAsia="等线" w:hAnsi="等线" w:cs="黑体"/>
                      <w:sz w:val="21"/>
                      <w:szCs w:val="21"/>
                    </w:rPr>
                  </w:pPr>
                  <w:r w:rsidRPr="002127DF">
                    <w:rPr>
                      <w:rFonts w:ascii="等线" w:eastAsia="等线" w:hAnsi="等线" w:cs="黑体" w:hint="eastAsia"/>
                      <w:b/>
                      <w:color w:val="1F3864" w:themeColor="accent1" w:themeShade="80"/>
                      <w:sz w:val="21"/>
                      <w:szCs w:val="21"/>
                    </w:rPr>
                    <w:t>08</w:t>
                  </w:r>
                  <w:r w:rsidRPr="002127DF">
                    <w:rPr>
                      <w:rFonts w:ascii="等线" w:eastAsia="等线" w:hAnsi="等线" w:cs="黑体" w:hint="eastAsia"/>
                      <w:sz w:val="21"/>
                      <w:szCs w:val="21"/>
                    </w:rPr>
                    <w:t xml:space="preserve"> IOSCO：发布发行人披露ESG事项的声明，助益投资者投资和投票决策</w:t>
                  </w:r>
                </w:p>
                <w:p w:rsidR="002709A0" w:rsidRPr="002127DF" w:rsidRDefault="002709A0" w:rsidP="00FC0BC5">
                  <w:pPr>
                    <w:spacing w:line="380" w:lineRule="exact"/>
                    <w:rPr>
                      <w:rFonts w:ascii="等线" w:eastAsia="等线" w:hAnsi="等线" w:cs="黑体"/>
                      <w:sz w:val="21"/>
                      <w:szCs w:val="21"/>
                    </w:rPr>
                  </w:pPr>
                  <w:r w:rsidRPr="002127DF">
                    <w:rPr>
                      <w:rFonts w:ascii="等线" w:eastAsia="等线" w:hAnsi="等线" w:cs="黑体" w:hint="eastAsia"/>
                      <w:b/>
                      <w:color w:val="1F3864" w:themeColor="accent1" w:themeShade="80"/>
                      <w:sz w:val="21"/>
                      <w:szCs w:val="21"/>
                    </w:rPr>
                    <w:t>09</w:t>
                  </w:r>
                  <w:r w:rsidRPr="002127DF">
                    <w:rPr>
                      <w:rFonts w:ascii="等线" w:eastAsia="等线" w:hAnsi="等线" w:cs="黑体" w:hint="eastAsia"/>
                      <w:sz w:val="21"/>
                      <w:szCs w:val="21"/>
                    </w:rPr>
                    <w:t xml:space="preserve"> IOSCO：新兴市场监管机构就可持续金融相关建议进行咨询，更好地保护投资者权益</w:t>
                  </w:r>
                </w:p>
                <w:p w:rsidR="0073767A" w:rsidRPr="002127DF" w:rsidRDefault="002709A0" w:rsidP="00FC0BC5">
                  <w:pPr>
                    <w:spacing w:line="380" w:lineRule="exact"/>
                    <w:rPr>
                      <w:rFonts w:ascii="等线" w:eastAsia="等线" w:hAnsi="等线"/>
                      <w:sz w:val="21"/>
                      <w:szCs w:val="21"/>
                    </w:rPr>
                  </w:pPr>
                  <w:r w:rsidRPr="002127DF">
                    <w:rPr>
                      <w:rFonts w:ascii="等线" w:eastAsia="等线" w:hAnsi="等线" w:cs="黑体" w:hint="eastAsia"/>
                      <w:b/>
                      <w:color w:val="1F3864" w:themeColor="accent1" w:themeShade="80"/>
                      <w:sz w:val="21"/>
                      <w:szCs w:val="21"/>
                    </w:rPr>
                    <w:t>10</w:t>
                  </w:r>
                  <w:r w:rsidRPr="002127DF">
                    <w:rPr>
                      <w:rFonts w:ascii="等线" w:eastAsia="等线" w:hAnsi="等线" w:cs="黑体" w:hint="eastAsia"/>
                      <w:sz w:val="21"/>
                      <w:szCs w:val="21"/>
                    </w:rPr>
                    <w:t xml:space="preserve"> ESMA：决定将二元期权禁令从2019年4月2日起再延长三个月，进一步维护投资者合法权利</w:t>
                  </w:r>
                </w:p>
              </w:txbxContent>
            </v:textbox>
          </v:shape>
        </w:pict>
      </w:r>
    </w:p>
    <w:p w:rsidR="007B66DB" w:rsidRPr="002127DF" w:rsidRDefault="007B66DB" w:rsidP="00596D15">
      <w:pPr>
        <w:rPr>
          <w:rFonts w:eastAsia="黑体"/>
          <w:color w:val="1F3864" w:themeColor="accent1" w:themeShade="80"/>
          <w:sz w:val="30"/>
          <w:szCs w:val="30"/>
        </w:rPr>
      </w:pPr>
    </w:p>
    <w:p w:rsidR="007B66DB" w:rsidRPr="002127DF" w:rsidRDefault="007B66DB" w:rsidP="00596D15">
      <w:pPr>
        <w:rPr>
          <w:rFonts w:eastAsia="黑体"/>
          <w:color w:val="1F3864" w:themeColor="accent1" w:themeShade="80"/>
          <w:sz w:val="30"/>
          <w:szCs w:val="30"/>
        </w:rPr>
      </w:pPr>
    </w:p>
    <w:p w:rsidR="007B66DB" w:rsidRPr="002127DF" w:rsidRDefault="007B66DB" w:rsidP="00596D15">
      <w:pPr>
        <w:rPr>
          <w:rFonts w:eastAsia="黑体"/>
          <w:color w:val="1F3864" w:themeColor="accent1" w:themeShade="80"/>
          <w:sz w:val="30"/>
          <w:szCs w:val="30"/>
        </w:rPr>
      </w:pPr>
    </w:p>
    <w:p w:rsidR="007B66DB" w:rsidRPr="002127DF" w:rsidRDefault="007B66DB" w:rsidP="00596D15">
      <w:pPr>
        <w:rPr>
          <w:rFonts w:eastAsia="黑体"/>
          <w:color w:val="1F3864" w:themeColor="accent1" w:themeShade="80"/>
          <w:sz w:val="30"/>
          <w:szCs w:val="30"/>
        </w:rPr>
      </w:pPr>
    </w:p>
    <w:p w:rsidR="007B66DB" w:rsidRPr="002127DF" w:rsidRDefault="007B66DB" w:rsidP="00596D15">
      <w:pPr>
        <w:rPr>
          <w:rFonts w:eastAsia="黑体"/>
          <w:color w:val="1F3864" w:themeColor="accent1" w:themeShade="80"/>
          <w:sz w:val="30"/>
          <w:szCs w:val="30"/>
        </w:rPr>
      </w:pPr>
    </w:p>
    <w:p w:rsidR="007B66DB" w:rsidRPr="002127DF" w:rsidRDefault="007B66DB" w:rsidP="00596D15">
      <w:pPr>
        <w:rPr>
          <w:rFonts w:eastAsia="黑体"/>
          <w:color w:val="1F3864" w:themeColor="accent1" w:themeShade="80"/>
          <w:sz w:val="30"/>
          <w:szCs w:val="30"/>
        </w:rPr>
      </w:pPr>
    </w:p>
    <w:p w:rsidR="007B66DB" w:rsidRPr="002127DF" w:rsidRDefault="007B66DB" w:rsidP="00596D15">
      <w:pPr>
        <w:rPr>
          <w:rFonts w:eastAsia="黑体"/>
          <w:color w:val="1F3864" w:themeColor="accent1" w:themeShade="80"/>
          <w:sz w:val="30"/>
          <w:szCs w:val="30"/>
        </w:rPr>
      </w:pPr>
    </w:p>
    <w:p w:rsidR="007B66DB" w:rsidRPr="002127DF" w:rsidRDefault="007B66DB" w:rsidP="00596D15">
      <w:pPr>
        <w:rPr>
          <w:rFonts w:eastAsia="黑体"/>
          <w:color w:val="1F3864" w:themeColor="accent1" w:themeShade="80"/>
          <w:sz w:val="30"/>
          <w:szCs w:val="30"/>
        </w:rPr>
      </w:pPr>
    </w:p>
    <w:p w:rsidR="007B66DB" w:rsidRPr="002127DF" w:rsidRDefault="007B66DB" w:rsidP="00596D15">
      <w:pPr>
        <w:rPr>
          <w:rFonts w:eastAsia="黑体"/>
          <w:color w:val="1F3864" w:themeColor="accent1" w:themeShade="80"/>
          <w:sz w:val="30"/>
          <w:szCs w:val="30"/>
        </w:rPr>
      </w:pPr>
    </w:p>
    <w:p w:rsidR="007B66DB" w:rsidRPr="002127DF" w:rsidRDefault="007B66DB" w:rsidP="00596D15">
      <w:pPr>
        <w:rPr>
          <w:rFonts w:eastAsia="黑体"/>
          <w:color w:val="1F3864" w:themeColor="accent1" w:themeShade="80"/>
          <w:sz w:val="30"/>
          <w:szCs w:val="30"/>
        </w:rPr>
      </w:pPr>
    </w:p>
    <w:p w:rsidR="007B66DB" w:rsidRPr="002127DF" w:rsidRDefault="007B66DB" w:rsidP="00596D15">
      <w:pPr>
        <w:rPr>
          <w:rFonts w:eastAsia="黑体"/>
          <w:color w:val="1F3864" w:themeColor="accent1" w:themeShade="80"/>
          <w:sz w:val="30"/>
          <w:szCs w:val="30"/>
        </w:rPr>
      </w:pPr>
    </w:p>
    <w:p w:rsidR="007B66DB" w:rsidRPr="002127DF" w:rsidRDefault="007B66DB" w:rsidP="00596D15">
      <w:pPr>
        <w:rPr>
          <w:rFonts w:eastAsia="黑体"/>
          <w:color w:val="1F3864" w:themeColor="accent1" w:themeShade="80"/>
          <w:sz w:val="30"/>
          <w:szCs w:val="30"/>
        </w:rPr>
      </w:pPr>
    </w:p>
    <w:p w:rsidR="007B66DB" w:rsidRPr="002127DF" w:rsidRDefault="007B66DB" w:rsidP="00596D15">
      <w:pPr>
        <w:rPr>
          <w:rFonts w:eastAsia="黑体"/>
          <w:color w:val="1F3864" w:themeColor="accent1" w:themeShade="80"/>
          <w:sz w:val="30"/>
          <w:szCs w:val="30"/>
        </w:rPr>
      </w:pPr>
    </w:p>
    <w:p w:rsidR="007B66DB" w:rsidRPr="002127DF" w:rsidRDefault="007B66DB" w:rsidP="00596D15">
      <w:pPr>
        <w:rPr>
          <w:rFonts w:eastAsia="黑体"/>
          <w:color w:val="1F3864" w:themeColor="accent1" w:themeShade="80"/>
          <w:sz w:val="30"/>
          <w:szCs w:val="30"/>
        </w:rPr>
      </w:pPr>
    </w:p>
    <w:p w:rsidR="007B66DB" w:rsidRPr="002127DF" w:rsidRDefault="007B66DB" w:rsidP="00596D15">
      <w:pPr>
        <w:rPr>
          <w:rFonts w:eastAsia="黑体"/>
          <w:color w:val="1F3864" w:themeColor="accent1" w:themeShade="80"/>
          <w:sz w:val="30"/>
          <w:szCs w:val="30"/>
        </w:rPr>
      </w:pPr>
    </w:p>
    <w:p w:rsidR="007B66DB" w:rsidRPr="002127DF" w:rsidRDefault="007B66DB" w:rsidP="00596D15">
      <w:pPr>
        <w:rPr>
          <w:rFonts w:eastAsia="黑体"/>
          <w:color w:val="1F3864" w:themeColor="accent1" w:themeShade="80"/>
          <w:sz w:val="30"/>
          <w:szCs w:val="30"/>
        </w:rPr>
      </w:pPr>
    </w:p>
    <w:p w:rsidR="007B66DB" w:rsidRPr="002127DF" w:rsidRDefault="007B66DB" w:rsidP="00596D15">
      <w:pPr>
        <w:rPr>
          <w:rFonts w:eastAsia="黑体"/>
          <w:color w:val="1F3864" w:themeColor="accent1" w:themeShade="80"/>
          <w:sz w:val="30"/>
          <w:szCs w:val="30"/>
        </w:rPr>
      </w:pPr>
    </w:p>
    <w:p w:rsidR="007B66DB" w:rsidRPr="002127DF" w:rsidRDefault="007B66DB" w:rsidP="00596D15">
      <w:pPr>
        <w:rPr>
          <w:rFonts w:eastAsia="黑体"/>
          <w:color w:val="1F3864" w:themeColor="accent1" w:themeShade="80"/>
          <w:sz w:val="30"/>
          <w:szCs w:val="30"/>
        </w:rPr>
      </w:pPr>
    </w:p>
    <w:p w:rsidR="00596D15" w:rsidRPr="00FC0BC5" w:rsidRDefault="009D05E8" w:rsidP="006C59DD">
      <w:pPr>
        <w:spacing w:line="120" w:lineRule="atLeast"/>
        <w:rPr>
          <w:rFonts w:ascii="华文新魏" w:eastAsia="华文新魏"/>
          <w:b/>
          <w:bCs/>
          <w:color w:val="1F3864" w:themeColor="accent1" w:themeShade="80"/>
          <w:sz w:val="36"/>
          <w:szCs w:val="36"/>
        </w:rPr>
      </w:pPr>
      <w:r>
        <w:rPr>
          <w:rFonts w:ascii="华文新魏" w:eastAsia="华文新魏"/>
          <w:b/>
          <w:bCs/>
          <w:noProof/>
          <w:color w:val="1F3864" w:themeColor="accent1" w:themeShade="80"/>
          <w:sz w:val="36"/>
          <w:szCs w:val="36"/>
        </w:rPr>
        <w:lastRenderedPageBreak/>
        <w:pict>
          <v:rect id="_x0000_s1044" style="position:absolute;margin-left:-7.1pt;margin-top:2.25pt;width:442.45pt;height:39.5pt;z-index:251668480" o:gfxdata="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B8Oy+W1AAAAAcBAAAPAAAAAAAAAAEAIAAAACIAAABkcnMv&#10;ZG93bnJldi54bWxQSwECFAAUAAAACACHTuJAXZhg1gcCAABbBAAADgAAAAAAAAABACAAAAAjAQAA&#10;ZHJzL2Uyb0RvYy54bWxQSwUGAAAAAAYABgBZAQAAnAUAAAAA&#10;" fillcolor="#f8fafc" strokecolor="#f8fafc">
            <v:textbox>
              <w:txbxContent>
                <w:p w:rsidR="006C59DD" w:rsidRDefault="006C59DD" w:rsidP="006C59DD">
                  <w:pPr>
                    <w:spacing w:line="360" w:lineRule="auto"/>
                    <w:rPr>
                      <w:rFonts w:ascii="Arial Narrow" w:eastAsia="宋体" w:hAnsi="Arial Narrow" w:cs="Mongolian Baiti"/>
                      <w:b/>
                      <w:color w:val="1F3864" w:themeColor="accent1" w:themeShade="80"/>
                      <w:sz w:val="28"/>
                      <w:szCs w:val="28"/>
                    </w:rPr>
                  </w:pPr>
                  <w:r>
                    <w:rPr>
                      <w:rFonts w:ascii="华文新魏" w:eastAsia="华文新魏" w:hAnsi="黑体" w:hint="eastAsia"/>
                      <w:b/>
                      <w:color w:val="1F3864" w:themeColor="accent1" w:themeShade="80"/>
                      <w:sz w:val="36"/>
                      <w:szCs w:val="36"/>
                    </w:rPr>
                    <w:t>相关机构名称索引</w:t>
                  </w:r>
                </w:p>
                <w:p w:rsidR="006C59DD" w:rsidRDefault="006C59DD" w:rsidP="006C59DD"/>
              </w:txbxContent>
            </v:textbox>
          </v:rect>
        </w:pict>
      </w:r>
    </w:p>
    <w:tbl>
      <w:tblPr>
        <w:tblpPr w:leftFromText="180" w:rightFromText="180" w:vertAnchor="page" w:horzAnchor="margin" w:tblpX="-35" w:tblpY="2476"/>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43"/>
        <w:gridCol w:w="4253"/>
        <w:gridCol w:w="1276"/>
      </w:tblGrid>
      <w:tr w:rsidR="00596D15" w:rsidRPr="002127DF" w:rsidTr="00410FF1">
        <w:trPr>
          <w:trHeight w:val="558"/>
        </w:trPr>
        <w:tc>
          <w:tcPr>
            <w:tcW w:w="2943" w:type="dxa"/>
            <w:shd w:val="clear" w:color="auto" w:fill="DAE3F3" w:themeFill="accent1" w:themeFillTint="32"/>
            <w:vAlign w:val="center"/>
          </w:tcPr>
          <w:p w:rsidR="00596D15" w:rsidRPr="002127DF" w:rsidRDefault="00596D15" w:rsidP="00596D15">
            <w:pPr>
              <w:jc w:val="center"/>
              <w:rPr>
                <w:rFonts w:eastAsiaTheme="majorEastAsia" w:cs="黑体"/>
                <w:b/>
                <w:bCs/>
              </w:rPr>
            </w:pPr>
            <w:r w:rsidRPr="002127DF">
              <w:rPr>
                <w:rFonts w:eastAsiaTheme="majorEastAsia" w:hAnsiTheme="majorEastAsia" w:cs="黑体" w:hint="eastAsia"/>
                <w:b/>
                <w:bCs/>
              </w:rPr>
              <w:t>名称</w:t>
            </w:r>
          </w:p>
        </w:tc>
        <w:tc>
          <w:tcPr>
            <w:tcW w:w="4253" w:type="dxa"/>
            <w:shd w:val="clear" w:color="auto" w:fill="DAE3F3" w:themeFill="accent1" w:themeFillTint="32"/>
            <w:vAlign w:val="center"/>
          </w:tcPr>
          <w:p w:rsidR="00596D15" w:rsidRPr="002127DF" w:rsidRDefault="00596D15" w:rsidP="00596D15">
            <w:pPr>
              <w:jc w:val="center"/>
              <w:rPr>
                <w:rFonts w:eastAsiaTheme="majorEastAsia" w:cs="黑体"/>
                <w:b/>
                <w:bCs/>
              </w:rPr>
            </w:pPr>
            <w:r w:rsidRPr="002127DF">
              <w:rPr>
                <w:rFonts w:eastAsiaTheme="majorEastAsia" w:hAnsiTheme="majorEastAsia" w:cs="黑体" w:hint="eastAsia"/>
                <w:b/>
                <w:bCs/>
              </w:rPr>
              <w:t>英文全称</w:t>
            </w:r>
          </w:p>
        </w:tc>
        <w:tc>
          <w:tcPr>
            <w:tcW w:w="1276" w:type="dxa"/>
            <w:shd w:val="clear" w:color="auto" w:fill="DAE3F3" w:themeFill="accent1" w:themeFillTint="32"/>
            <w:vAlign w:val="center"/>
          </w:tcPr>
          <w:p w:rsidR="00596D15" w:rsidRPr="002127DF" w:rsidRDefault="00596D15" w:rsidP="00596D15">
            <w:pPr>
              <w:jc w:val="center"/>
              <w:rPr>
                <w:rFonts w:eastAsiaTheme="majorEastAsia" w:cs="黑体"/>
                <w:b/>
                <w:bCs/>
              </w:rPr>
            </w:pPr>
            <w:r w:rsidRPr="002127DF">
              <w:rPr>
                <w:rFonts w:eastAsiaTheme="majorEastAsia" w:hAnsiTheme="majorEastAsia" w:cs="黑体" w:hint="eastAsia"/>
                <w:b/>
                <w:bCs/>
              </w:rPr>
              <w:t>本文简称</w:t>
            </w:r>
          </w:p>
        </w:tc>
      </w:tr>
      <w:tr w:rsidR="00485222" w:rsidRPr="002127DF" w:rsidTr="00410FF1">
        <w:trPr>
          <w:trHeight w:val="692"/>
        </w:trPr>
        <w:tc>
          <w:tcPr>
            <w:tcW w:w="2943" w:type="dxa"/>
            <w:vAlign w:val="center"/>
          </w:tcPr>
          <w:p w:rsidR="00485222" w:rsidRPr="002127DF" w:rsidRDefault="00485222" w:rsidP="00215560">
            <w:pPr>
              <w:jc w:val="center"/>
              <w:rPr>
                <w:rFonts w:cs="Mongolian Baiti"/>
              </w:rPr>
            </w:pPr>
            <w:r w:rsidRPr="002127DF">
              <w:rPr>
                <w:rFonts w:cs="Mongolian Baiti" w:hint="eastAsia"/>
              </w:rPr>
              <w:t>国际证监会组织</w:t>
            </w:r>
          </w:p>
        </w:tc>
        <w:tc>
          <w:tcPr>
            <w:tcW w:w="4253" w:type="dxa"/>
            <w:vAlign w:val="center"/>
          </w:tcPr>
          <w:p w:rsidR="00485222" w:rsidRPr="002127DF" w:rsidRDefault="00485222" w:rsidP="00485222">
            <w:pPr>
              <w:jc w:val="center"/>
              <w:rPr>
                <w:rFonts w:cs="Mongolian Baiti"/>
              </w:rPr>
            </w:pPr>
            <w:r w:rsidRPr="002127DF">
              <w:rPr>
                <w:rFonts w:cs="Mongolian Baiti" w:hint="eastAsia"/>
              </w:rPr>
              <w:t xml:space="preserve">The International Organization </w:t>
            </w:r>
          </w:p>
          <w:p w:rsidR="00485222" w:rsidRPr="002127DF" w:rsidRDefault="00485222" w:rsidP="00485222">
            <w:pPr>
              <w:jc w:val="center"/>
              <w:rPr>
                <w:rFonts w:cs="Mongolian Baiti"/>
              </w:rPr>
            </w:pPr>
            <w:r w:rsidRPr="002127DF">
              <w:rPr>
                <w:rFonts w:cs="Mongolian Baiti" w:hint="eastAsia"/>
              </w:rPr>
              <w:t>of Securities Commissions</w:t>
            </w:r>
          </w:p>
        </w:tc>
        <w:tc>
          <w:tcPr>
            <w:tcW w:w="1276" w:type="dxa"/>
            <w:vAlign w:val="center"/>
          </w:tcPr>
          <w:p w:rsidR="00485222" w:rsidRPr="002127DF" w:rsidRDefault="00485222" w:rsidP="00485222">
            <w:pPr>
              <w:jc w:val="center"/>
              <w:rPr>
                <w:rFonts w:cs="Mongolian Baiti"/>
              </w:rPr>
            </w:pPr>
            <w:r w:rsidRPr="002127DF">
              <w:rPr>
                <w:rFonts w:cs="Mongolian Baiti" w:hint="eastAsia"/>
              </w:rPr>
              <w:t>IOSCO</w:t>
            </w:r>
          </w:p>
        </w:tc>
      </w:tr>
      <w:tr w:rsidR="00485222" w:rsidRPr="002127DF" w:rsidTr="00410FF1">
        <w:trPr>
          <w:trHeight w:val="646"/>
        </w:trPr>
        <w:tc>
          <w:tcPr>
            <w:tcW w:w="2943" w:type="dxa"/>
            <w:vAlign w:val="center"/>
          </w:tcPr>
          <w:p w:rsidR="00485222" w:rsidRPr="002127DF" w:rsidRDefault="00485222" w:rsidP="00215560">
            <w:pPr>
              <w:jc w:val="center"/>
              <w:rPr>
                <w:rFonts w:cs="Mongolian Baiti"/>
              </w:rPr>
            </w:pPr>
            <w:r w:rsidRPr="002127DF">
              <w:rPr>
                <w:rFonts w:cs="Mongolian Baiti" w:hint="eastAsia"/>
              </w:rPr>
              <w:t>世界交易所联合会</w:t>
            </w:r>
          </w:p>
        </w:tc>
        <w:tc>
          <w:tcPr>
            <w:tcW w:w="4253" w:type="dxa"/>
            <w:vAlign w:val="center"/>
          </w:tcPr>
          <w:p w:rsidR="00485222" w:rsidRPr="002127DF" w:rsidRDefault="00485222" w:rsidP="00485222">
            <w:pPr>
              <w:jc w:val="center"/>
              <w:rPr>
                <w:rFonts w:cs="Mongolian Baiti"/>
              </w:rPr>
            </w:pPr>
            <w:r w:rsidRPr="002127DF">
              <w:rPr>
                <w:rFonts w:cs="Mongolian Baiti" w:hint="eastAsia"/>
              </w:rPr>
              <w:t>The World Federation of Exchanges</w:t>
            </w:r>
          </w:p>
        </w:tc>
        <w:tc>
          <w:tcPr>
            <w:tcW w:w="1276" w:type="dxa"/>
            <w:vAlign w:val="center"/>
          </w:tcPr>
          <w:p w:rsidR="00485222" w:rsidRPr="002127DF" w:rsidRDefault="00485222" w:rsidP="00485222">
            <w:pPr>
              <w:jc w:val="center"/>
              <w:rPr>
                <w:rFonts w:cs="Mongolian Baiti"/>
              </w:rPr>
            </w:pPr>
            <w:r w:rsidRPr="002127DF">
              <w:rPr>
                <w:rFonts w:cs="Mongolian Baiti" w:hint="eastAsia"/>
              </w:rPr>
              <w:t>WFE</w:t>
            </w:r>
          </w:p>
        </w:tc>
      </w:tr>
      <w:tr w:rsidR="00410FF1" w:rsidRPr="002127DF" w:rsidTr="00410FF1">
        <w:trPr>
          <w:trHeight w:val="646"/>
        </w:trPr>
        <w:tc>
          <w:tcPr>
            <w:tcW w:w="2943" w:type="dxa"/>
            <w:vAlign w:val="center"/>
          </w:tcPr>
          <w:p w:rsidR="00410FF1" w:rsidRPr="002127DF" w:rsidRDefault="00410FF1" w:rsidP="00215560">
            <w:pPr>
              <w:jc w:val="center"/>
              <w:rPr>
                <w:rFonts w:cs="Mongolian Baiti"/>
              </w:rPr>
            </w:pPr>
            <w:r w:rsidRPr="002127DF">
              <w:rPr>
                <w:rFonts w:cs="Mongolian Baiti" w:hint="eastAsia"/>
              </w:rPr>
              <w:t>欧洲证券市场监管局</w:t>
            </w:r>
          </w:p>
        </w:tc>
        <w:tc>
          <w:tcPr>
            <w:tcW w:w="4253" w:type="dxa"/>
            <w:vAlign w:val="center"/>
          </w:tcPr>
          <w:p w:rsidR="00410FF1" w:rsidRPr="002127DF" w:rsidRDefault="00410FF1" w:rsidP="00410FF1">
            <w:pPr>
              <w:jc w:val="center"/>
              <w:rPr>
                <w:rFonts w:cs="Mongolian Baiti"/>
              </w:rPr>
            </w:pPr>
            <w:r w:rsidRPr="002127DF">
              <w:rPr>
                <w:rFonts w:cs="Mongolian Baiti" w:hint="eastAsia"/>
              </w:rPr>
              <w:t xml:space="preserve">European Securities </w:t>
            </w:r>
          </w:p>
          <w:p w:rsidR="00410FF1" w:rsidRPr="002127DF" w:rsidRDefault="00410FF1" w:rsidP="00410FF1">
            <w:pPr>
              <w:jc w:val="center"/>
              <w:rPr>
                <w:rFonts w:cs="Mongolian Baiti"/>
              </w:rPr>
            </w:pPr>
            <w:r w:rsidRPr="002127DF">
              <w:rPr>
                <w:rFonts w:cs="Mongolian Baiti" w:hint="eastAsia"/>
              </w:rPr>
              <w:t>and Markets Authority</w:t>
            </w:r>
          </w:p>
        </w:tc>
        <w:tc>
          <w:tcPr>
            <w:tcW w:w="1276" w:type="dxa"/>
            <w:vAlign w:val="center"/>
          </w:tcPr>
          <w:p w:rsidR="00410FF1" w:rsidRPr="002127DF" w:rsidRDefault="00410FF1" w:rsidP="00410FF1">
            <w:pPr>
              <w:jc w:val="center"/>
              <w:rPr>
                <w:rFonts w:cs="Mongolian Baiti"/>
              </w:rPr>
            </w:pPr>
            <w:r w:rsidRPr="002127DF">
              <w:rPr>
                <w:rFonts w:cs="Mongolian Baiti" w:hint="eastAsia"/>
              </w:rPr>
              <w:t>ESMA</w:t>
            </w:r>
          </w:p>
        </w:tc>
      </w:tr>
      <w:tr w:rsidR="00410FF1" w:rsidRPr="002127DF" w:rsidTr="00410FF1">
        <w:trPr>
          <w:trHeight w:val="646"/>
        </w:trPr>
        <w:tc>
          <w:tcPr>
            <w:tcW w:w="2943" w:type="dxa"/>
            <w:vAlign w:val="center"/>
          </w:tcPr>
          <w:p w:rsidR="00410FF1" w:rsidRPr="002127DF" w:rsidRDefault="00410FF1" w:rsidP="00215560">
            <w:pPr>
              <w:jc w:val="center"/>
              <w:rPr>
                <w:rFonts w:cs="Mongolian Baiti"/>
              </w:rPr>
            </w:pPr>
            <w:bookmarkStart w:id="0" w:name="OLE_LINK1"/>
            <w:bookmarkStart w:id="1" w:name="OLE_LINK2"/>
            <w:bookmarkStart w:id="2" w:name="OLE_LINK27"/>
            <w:r w:rsidRPr="002127DF">
              <w:rPr>
                <w:rFonts w:cs="Mongolian Baiti" w:hint="eastAsia"/>
              </w:rPr>
              <w:t>美国联邦储备委员会</w:t>
            </w:r>
            <w:bookmarkEnd w:id="0"/>
            <w:bookmarkEnd w:id="1"/>
            <w:bookmarkEnd w:id="2"/>
          </w:p>
        </w:tc>
        <w:tc>
          <w:tcPr>
            <w:tcW w:w="4253" w:type="dxa"/>
            <w:vAlign w:val="center"/>
          </w:tcPr>
          <w:p w:rsidR="00410FF1" w:rsidRPr="002127DF" w:rsidRDefault="00410FF1" w:rsidP="00410FF1">
            <w:pPr>
              <w:jc w:val="center"/>
              <w:rPr>
                <w:rFonts w:cs="Mongolian Baiti"/>
              </w:rPr>
            </w:pPr>
            <w:r w:rsidRPr="002127DF">
              <w:rPr>
                <w:rFonts w:hint="eastAsia"/>
              </w:rPr>
              <w:t>The Federal Reserve Board</w:t>
            </w:r>
          </w:p>
        </w:tc>
        <w:tc>
          <w:tcPr>
            <w:tcW w:w="1276" w:type="dxa"/>
            <w:vAlign w:val="center"/>
          </w:tcPr>
          <w:p w:rsidR="00410FF1" w:rsidRPr="002127DF" w:rsidRDefault="00410FF1" w:rsidP="00410FF1">
            <w:pPr>
              <w:jc w:val="center"/>
              <w:rPr>
                <w:rFonts w:cs="Mongolian Baiti"/>
              </w:rPr>
            </w:pPr>
            <w:r w:rsidRPr="002127DF">
              <w:rPr>
                <w:rFonts w:cs="Mongolian Baiti" w:hint="eastAsia"/>
              </w:rPr>
              <w:t>FRB</w:t>
            </w:r>
          </w:p>
        </w:tc>
      </w:tr>
      <w:tr w:rsidR="00410FF1" w:rsidRPr="002127DF" w:rsidTr="00410FF1">
        <w:trPr>
          <w:trHeight w:val="764"/>
        </w:trPr>
        <w:tc>
          <w:tcPr>
            <w:tcW w:w="2943" w:type="dxa"/>
            <w:vAlign w:val="center"/>
          </w:tcPr>
          <w:p w:rsidR="00410FF1" w:rsidRPr="002127DF" w:rsidRDefault="00410FF1" w:rsidP="00215560">
            <w:pPr>
              <w:jc w:val="center"/>
              <w:rPr>
                <w:rFonts w:cs="Mongolian Baiti"/>
              </w:rPr>
            </w:pPr>
            <w:r w:rsidRPr="002127DF">
              <w:rPr>
                <w:rFonts w:cs="Mongolian Baiti" w:hint="eastAsia"/>
              </w:rPr>
              <w:t>美国证券交易委员会</w:t>
            </w:r>
          </w:p>
        </w:tc>
        <w:tc>
          <w:tcPr>
            <w:tcW w:w="4253" w:type="dxa"/>
            <w:vAlign w:val="center"/>
          </w:tcPr>
          <w:p w:rsidR="00410FF1" w:rsidRPr="002127DF" w:rsidRDefault="00410FF1" w:rsidP="00410FF1">
            <w:pPr>
              <w:jc w:val="center"/>
              <w:rPr>
                <w:rFonts w:cs="Mongolian Baiti"/>
              </w:rPr>
            </w:pPr>
            <w:r w:rsidRPr="002127DF">
              <w:rPr>
                <w:rFonts w:cs="Mongolian Baiti" w:hint="eastAsia"/>
              </w:rPr>
              <w:t xml:space="preserve">U.S. Securities </w:t>
            </w:r>
          </w:p>
          <w:p w:rsidR="00410FF1" w:rsidRPr="002127DF" w:rsidRDefault="00410FF1" w:rsidP="00410FF1">
            <w:pPr>
              <w:jc w:val="center"/>
              <w:rPr>
                <w:rFonts w:cs="Mongolian Baiti"/>
              </w:rPr>
            </w:pPr>
            <w:r w:rsidRPr="002127DF">
              <w:rPr>
                <w:rFonts w:cs="Mongolian Baiti" w:hint="eastAsia"/>
              </w:rPr>
              <w:t>and Exchange Commission</w:t>
            </w:r>
          </w:p>
        </w:tc>
        <w:tc>
          <w:tcPr>
            <w:tcW w:w="1276" w:type="dxa"/>
            <w:vAlign w:val="center"/>
          </w:tcPr>
          <w:p w:rsidR="00410FF1" w:rsidRPr="002127DF" w:rsidRDefault="00410FF1" w:rsidP="00410FF1">
            <w:pPr>
              <w:jc w:val="center"/>
              <w:rPr>
                <w:rFonts w:cs="Mongolian Baiti"/>
              </w:rPr>
            </w:pPr>
            <w:r w:rsidRPr="002127DF">
              <w:rPr>
                <w:rFonts w:cs="Mongolian Baiti" w:hint="eastAsia"/>
              </w:rPr>
              <w:t>SEC</w:t>
            </w:r>
          </w:p>
        </w:tc>
      </w:tr>
      <w:tr w:rsidR="00410FF1" w:rsidRPr="002127DF" w:rsidTr="00410FF1">
        <w:trPr>
          <w:trHeight w:val="764"/>
        </w:trPr>
        <w:tc>
          <w:tcPr>
            <w:tcW w:w="2943" w:type="dxa"/>
            <w:vAlign w:val="center"/>
          </w:tcPr>
          <w:p w:rsidR="00410FF1" w:rsidRPr="002127DF" w:rsidRDefault="00410FF1" w:rsidP="00215560">
            <w:pPr>
              <w:jc w:val="center"/>
              <w:rPr>
                <w:rFonts w:cs="Mongolian Baiti"/>
              </w:rPr>
            </w:pPr>
            <w:r w:rsidRPr="002127DF">
              <w:rPr>
                <w:rFonts w:cs="Mongolian Baiti" w:hint="eastAsia"/>
              </w:rPr>
              <w:t>美国商品期货交易委员会</w:t>
            </w:r>
          </w:p>
        </w:tc>
        <w:tc>
          <w:tcPr>
            <w:tcW w:w="4253" w:type="dxa"/>
            <w:vAlign w:val="center"/>
          </w:tcPr>
          <w:p w:rsidR="00410FF1" w:rsidRPr="002127DF" w:rsidRDefault="00410FF1" w:rsidP="00410FF1">
            <w:pPr>
              <w:jc w:val="center"/>
              <w:rPr>
                <w:rFonts w:cs="Mongolian Baiti"/>
              </w:rPr>
            </w:pPr>
            <w:r w:rsidRPr="002127DF">
              <w:rPr>
                <w:rFonts w:cs="Mongolian Baiti" w:hint="eastAsia"/>
              </w:rPr>
              <w:t xml:space="preserve">U.S. Commodity Futures </w:t>
            </w:r>
          </w:p>
          <w:p w:rsidR="00410FF1" w:rsidRPr="002127DF" w:rsidRDefault="006E783B" w:rsidP="00410FF1">
            <w:pPr>
              <w:jc w:val="center"/>
              <w:rPr>
                <w:rFonts w:cs="Mongolian Baiti"/>
              </w:rPr>
            </w:pPr>
            <w:r w:rsidRPr="002127DF">
              <w:rPr>
                <w:rFonts w:cs="Mongolian Baiti"/>
              </w:rPr>
              <w:t>Trading</w:t>
            </w:r>
            <w:r w:rsidR="00410FF1" w:rsidRPr="002127DF">
              <w:rPr>
                <w:rFonts w:cs="Mongolian Baiti" w:hint="eastAsia"/>
              </w:rPr>
              <w:t xml:space="preserve"> Commission</w:t>
            </w:r>
          </w:p>
        </w:tc>
        <w:tc>
          <w:tcPr>
            <w:tcW w:w="1276" w:type="dxa"/>
            <w:vAlign w:val="center"/>
          </w:tcPr>
          <w:p w:rsidR="00410FF1" w:rsidRPr="002127DF" w:rsidRDefault="00410FF1" w:rsidP="00410FF1">
            <w:pPr>
              <w:jc w:val="center"/>
              <w:rPr>
                <w:rFonts w:cs="Mongolian Baiti"/>
              </w:rPr>
            </w:pPr>
            <w:r w:rsidRPr="002127DF">
              <w:rPr>
                <w:rFonts w:cs="Mongolian Baiti" w:hint="eastAsia"/>
              </w:rPr>
              <w:t>CFTC</w:t>
            </w:r>
          </w:p>
        </w:tc>
      </w:tr>
      <w:tr w:rsidR="00410FF1" w:rsidRPr="002127DF" w:rsidTr="00410FF1">
        <w:trPr>
          <w:trHeight w:val="764"/>
        </w:trPr>
        <w:tc>
          <w:tcPr>
            <w:tcW w:w="2943" w:type="dxa"/>
            <w:vAlign w:val="center"/>
          </w:tcPr>
          <w:p w:rsidR="00410FF1" w:rsidRPr="002127DF" w:rsidRDefault="00410FF1" w:rsidP="00215560">
            <w:pPr>
              <w:jc w:val="center"/>
              <w:rPr>
                <w:rFonts w:cs="Mongolian Baiti"/>
              </w:rPr>
            </w:pPr>
            <w:r w:rsidRPr="002127DF">
              <w:rPr>
                <w:rFonts w:cs="Mongolian Baiti" w:hint="eastAsia"/>
              </w:rPr>
              <w:t>美国证券投资者保护公司</w:t>
            </w:r>
          </w:p>
        </w:tc>
        <w:tc>
          <w:tcPr>
            <w:tcW w:w="4253" w:type="dxa"/>
            <w:vAlign w:val="center"/>
          </w:tcPr>
          <w:p w:rsidR="00410FF1" w:rsidRPr="002127DF" w:rsidRDefault="00410FF1" w:rsidP="00410FF1">
            <w:pPr>
              <w:jc w:val="center"/>
              <w:rPr>
                <w:rFonts w:cs="Mongolian Baiti"/>
              </w:rPr>
            </w:pPr>
            <w:r w:rsidRPr="002127DF">
              <w:rPr>
                <w:rFonts w:cs="Mongolian Baiti" w:hint="eastAsia"/>
              </w:rPr>
              <w:t xml:space="preserve">Securities Investor </w:t>
            </w:r>
          </w:p>
          <w:p w:rsidR="00410FF1" w:rsidRPr="002127DF" w:rsidRDefault="00410FF1" w:rsidP="00410FF1">
            <w:pPr>
              <w:jc w:val="center"/>
              <w:rPr>
                <w:rFonts w:cs="Mongolian Baiti"/>
              </w:rPr>
            </w:pPr>
            <w:r w:rsidRPr="002127DF">
              <w:rPr>
                <w:rFonts w:cs="Mongolian Baiti" w:hint="eastAsia"/>
              </w:rPr>
              <w:t>Protection Corporation</w:t>
            </w:r>
          </w:p>
        </w:tc>
        <w:tc>
          <w:tcPr>
            <w:tcW w:w="1276" w:type="dxa"/>
            <w:vAlign w:val="center"/>
          </w:tcPr>
          <w:p w:rsidR="00410FF1" w:rsidRPr="002127DF" w:rsidRDefault="00410FF1" w:rsidP="00410FF1">
            <w:pPr>
              <w:jc w:val="center"/>
              <w:rPr>
                <w:rFonts w:cs="Mongolian Baiti"/>
              </w:rPr>
            </w:pPr>
            <w:r w:rsidRPr="002127DF">
              <w:rPr>
                <w:rFonts w:cs="Mongolian Baiti" w:hint="eastAsia"/>
              </w:rPr>
              <w:t>SIPC</w:t>
            </w:r>
          </w:p>
        </w:tc>
      </w:tr>
      <w:tr w:rsidR="00410FF1" w:rsidRPr="002127DF" w:rsidTr="00410FF1">
        <w:trPr>
          <w:trHeight w:val="764"/>
        </w:trPr>
        <w:tc>
          <w:tcPr>
            <w:tcW w:w="2943" w:type="dxa"/>
            <w:vAlign w:val="center"/>
          </w:tcPr>
          <w:p w:rsidR="00410FF1" w:rsidRPr="002127DF" w:rsidRDefault="00410FF1" w:rsidP="00215560">
            <w:pPr>
              <w:jc w:val="center"/>
              <w:rPr>
                <w:rFonts w:cs="Mongolian Baiti"/>
              </w:rPr>
            </w:pPr>
            <w:r w:rsidRPr="002127DF">
              <w:rPr>
                <w:rFonts w:cs="Mongolian Baiti" w:hint="eastAsia"/>
              </w:rPr>
              <w:t>美国国家投资者协会</w:t>
            </w:r>
          </w:p>
        </w:tc>
        <w:tc>
          <w:tcPr>
            <w:tcW w:w="4253" w:type="dxa"/>
            <w:vAlign w:val="center"/>
          </w:tcPr>
          <w:p w:rsidR="00410FF1" w:rsidRPr="002127DF" w:rsidRDefault="00410FF1" w:rsidP="00410FF1">
            <w:pPr>
              <w:jc w:val="center"/>
              <w:rPr>
                <w:rFonts w:cs="Mongolian Baiti"/>
              </w:rPr>
            </w:pPr>
            <w:r w:rsidRPr="002127DF">
              <w:rPr>
                <w:rFonts w:cs="Mongolian Baiti" w:hint="eastAsia"/>
              </w:rPr>
              <w:t xml:space="preserve">National Investor </w:t>
            </w:r>
          </w:p>
          <w:p w:rsidR="00410FF1" w:rsidRPr="002127DF" w:rsidRDefault="00410FF1" w:rsidP="00410FF1">
            <w:pPr>
              <w:jc w:val="center"/>
              <w:rPr>
                <w:rFonts w:cs="Mongolian Baiti"/>
              </w:rPr>
            </w:pPr>
            <w:r w:rsidRPr="002127DF">
              <w:rPr>
                <w:rFonts w:cs="Mongolian Baiti" w:hint="eastAsia"/>
              </w:rPr>
              <w:t>Relations Institution</w:t>
            </w:r>
          </w:p>
        </w:tc>
        <w:tc>
          <w:tcPr>
            <w:tcW w:w="1276" w:type="dxa"/>
            <w:vAlign w:val="center"/>
          </w:tcPr>
          <w:p w:rsidR="00410FF1" w:rsidRPr="002127DF" w:rsidRDefault="00410FF1" w:rsidP="00410FF1">
            <w:pPr>
              <w:jc w:val="center"/>
              <w:rPr>
                <w:rFonts w:cs="Mongolian Baiti"/>
              </w:rPr>
            </w:pPr>
            <w:r w:rsidRPr="002127DF">
              <w:rPr>
                <w:rFonts w:cs="Mongolian Baiti" w:hint="eastAsia"/>
              </w:rPr>
              <w:t>NIRI</w:t>
            </w:r>
          </w:p>
        </w:tc>
      </w:tr>
      <w:tr w:rsidR="00410FF1" w:rsidRPr="002127DF" w:rsidTr="00410FF1">
        <w:trPr>
          <w:trHeight w:val="764"/>
        </w:trPr>
        <w:tc>
          <w:tcPr>
            <w:tcW w:w="2943" w:type="dxa"/>
            <w:vAlign w:val="center"/>
          </w:tcPr>
          <w:p w:rsidR="00410FF1" w:rsidRPr="002127DF" w:rsidRDefault="00410FF1" w:rsidP="00215560">
            <w:pPr>
              <w:jc w:val="center"/>
              <w:rPr>
                <w:rFonts w:cs="Mongolian Baiti"/>
              </w:rPr>
            </w:pPr>
            <w:r w:rsidRPr="002127DF">
              <w:rPr>
                <w:rFonts w:cs="Mongolian Baiti" w:hint="eastAsia"/>
              </w:rPr>
              <w:t>莫斯科交易所</w:t>
            </w:r>
          </w:p>
        </w:tc>
        <w:tc>
          <w:tcPr>
            <w:tcW w:w="4253" w:type="dxa"/>
            <w:vAlign w:val="center"/>
          </w:tcPr>
          <w:p w:rsidR="00410FF1" w:rsidRPr="002127DF" w:rsidRDefault="00410FF1" w:rsidP="00410FF1">
            <w:pPr>
              <w:jc w:val="center"/>
              <w:rPr>
                <w:rFonts w:cs="Mongolian Baiti"/>
              </w:rPr>
            </w:pPr>
            <w:r w:rsidRPr="002127DF">
              <w:rPr>
                <w:rFonts w:cs="Mongolian Baiti" w:hint="eastAsia"/>
              </w:rPr>
              <w:t>Moscow Exchange</w:t>
            </w:r>
          </w:p>
        </w:tc>
        <w:tc>
          <w:tcPr>
            <w:tcW w:w="1276" w:type="dxa"/>
            <w:vAlign w:val="center"/>
          </w:tcPr>
          <w:p w:rsidR="00410FF1" w:rsidRPr="002127DF" w:rsidRDefault="00410FF1" w:rsidP="00410FF1">
            <w:pPr>
              <w:jc w:val="center"/>
              <w:rPr>
                <w:rFonts w:cs="Mongolian Baiti"/>
              </w:rPr>
            </w:pPr>
            <w:r w:rsidRPr="002127DF">
              <w:rPr>
                <w:rFonts w:cs="Mongolian Baiti" w:hint="eastAsia"/>
              </w:rPr>
              <w:t>MOEX</w:t>
            </w:r>
          </w:p>
        </w:tc>
      </w:tr>
      <w:tr w:rsidR="00410FF1" w:rsidRPr="002127DF" w:rsidTr="00410FF1">
        <w:trPr>
          <w:trHeight w:val="764"/>
        </w:trPr>
        <w:tc>
          <w:tcPr>
            <w:tcW w:w="2943" w:type="dxa"/>
            <w:vAlign w:val="center"/>
          </w:tcPr>
          <w:p w:rsidR="00410FF1" w:rsidRPr="002127DF" w:rsidRDefault="00410FF1" w:rsidP="00215560">
            <w:pPr>
              <w:jc w:val="center"/>
              <w:rPr>
                <w:rFonts w:cs="Mongolian Baiti"/>
              </w:rPr>
            </w:pPr>
            <w:r w:rsidRPr="002127DF">
              <w:rPr>
                <w:rFonts w:cs="Mongolian Baiti" w:hint="eastAsia"/>
              </w:rPr>
              <w:t>马来西亚证券交易所</w:t>
            </w:r>
          </w:p>
        </w:tc>
        <w:tc>
          <w:tcPr>
            <w:tcW w:w="4253" w:type="dxa"/>
            <w:vAlign w:val="center"/>
          </w:tcPr>
          <w:p w:rsidR="00410FF1" w:rsidRPr="002127DF" w:rsidRDefault="00410FF1" w:rsidP="00410FF1">
            <w:pPr>
              <w:jc w:val="center"/>
              <w:rPr>
                <w:rFonts w:cs="Mongolian Baiti"/>
              </w:rPr>
            </w:pPr>
            <w:r w:rsidRPr="002127DF">
              <w:rPr>
                <w:rFonts w:cs="Mongolian Baiti" w:hint="eastAsia"/>
              </w:rPr>
              <w:t>Bursa Malaysia</w:t>
            </w:r>
          </w:p>
        </w:tc>
        <w:tc>
          <w:tcPr>
            <w:tcW w:w="1276" w:type="dxa"/>
            <w:vAlign w:val="center"/>
          </w:tcPr>
          <w:p w:rsidR="00410FF1" w:rsidRPr="002127DF" w:rsidRDefault="00410FF1" w:rsidP="00410FF1">
            <w:pPr>
              <w:jc w:val="center"/>
              <w:rPr>
                <w:rFonts w:cs="Mongolian Baiti"/>
              </w:rPr>
            </w:pPr>
          </w:p>
        </w:tc>
      </w:tr>
      <w:tr w:rsidR="00410FF1" w:rsidRPr="002127DF" w:rsidTr="00410FF1">
        <w:trPr>
          <w:trHeight w:val="764"/>
        </w:trPr>
        <w:tc>
          <w:tcPr>
            <w:tcW w:w="2943" w:type="dxa"/>
            <w:vAlign w:val="center"/>
          </w:tcPr>
          <w:p w:rsidR="006E783B" w:rsidRDefault="00410FF1" w:rsidP="00215560">
            <w:pPr>
              <w:jc w:val="center"/>
              <w:rPr>
                <w:rFonts w:cs="Mongolian Baiti"/>
              </w:rPr>
            </w:pPr>
            <w:r w:rsidRPr="002127DF">
              <w:rPr>
                <w:rFonts w:cs="Mongolian Baiti" w:hint="eastAsia"/>
              </w:rPr>
              <w:t>香港投资者及理财教育</w:t>
            </w:r>
          </w:p>
          <w:p w:rsidR="00410FF1" w:rsidRPr="002127DF" w:rsidRDefault="00410FF1" w:rsidP="00215560">
            <w:pPr>
              <w:jc w:val="center"/>
              <w:rPr>
                <w:rFonts w:cs="Mongolian Baiti"/>
              </w:rPr>
            </w:pPr>
            <w:r w:rsidRPr="002127DF">
              <w:rPr>
                <w:rFonts w:cs="Mongolian Baiti" w:hint="eastAsia"/>
              </w:rPr>
              <w:t>委员会</w:t>
            </w:r>
          </w:p>
        </w:tc>
        <w:tc>
          <w:tcPr>
            <w:tcW w:w="4253" w:type="dxa"/>
            <w:vAlign w:val="center"/>
          </w:tcPr>
          <w:p w:rsidR="00410FF1" w:rsidRPr="002127DF" w:rsidRDefault="00410FF1" w:rsidP="00410FF1">
            <w:pPr>
              <w:jc w:val="center"/>
              <w:rPr>
                <w:rFonts w:cs="Mongolian Baiti"/>
              </w:rPr>
            </w:pPr>
            <w:r w:rsidRPr="002127DF">
              <w:rPr>
                <w:rFonts w:cs="Mongolian Baiti" w:hint="eastAsia"/>
              </w:rPr>
              <w:t xml:space="preserve">Investor and Financial </w:t>
            </w:r>
          </w:p>
          <w:p w:rsidR="00410FF1" w:rsidRPr="002127DF" w:rsidRDefault="00410FF1" w:rsidP="00410FF1">
            <w:pPr>
              <w:jc w:val="center"/>
              <w:rPr>
                <w:rFonts w:cs="Mongolian Baiti"/>
              </w:rPr>
            </w:pPr>
            <w:r w:rsidRPr="002127DF">
              <w:rPr>
                <w:rFonts w:cs="Mongolian Baiti" w:hint="eastAsia"/>
              </w:rPr>
              <w:t>Education Council</w:t>
            </w:r>
          </w:p>
        </w:tc>
        <w:tc>
          <w:tcPr>
            <w:tcW w:w="1276" w:type="dxa"/>
            <w:vAlign w:val="center"/>
          </w:tcPr>
          <w:p w:rsidR="00410FF1" w:rsidRPr="002127DF" w:rsidRDefault="00410FF1" w:rsidP="00410FF1">
            <w:pPr>
              <w:jc w:val="center"/>
              <w:rPr>
                <w:rFonts w:cs="Mongolian Baiti"/>
              </w:rPr>
            </w:pPr>
            <w:r w:rsidRPr="002127DF">
              <w:rPr>
                <w:rFonts w:cs="Mongolian Baiti" w:hint="eastAsia"/>
              </w:rPr>
              <w:t>IFEC</w:t>
            </w:r>
          </w:p>
        </w:tc>
      </w:tr>
      <w:tr w:rsidR="00410FF1" w:rsidRPr="002127DF" w:rsidTr="00410FF1">
        <w:trPr>
          <w:trHeight w:val="639"/>
        </w:trPr>
        <w:tc>
          <w:tcPr>
            <w:tcW w:w="2943" w:type="dxa"/>
            <w:vAlign w:val="center"/>
          </w:tcPr>
          <w:p w:rsidR="00410FF1" w:rsidRPr="002127DF" w:rsidRDefault="00410FF1" w:rsidP="00215560">
            <w:pPr>
              <w:jc w:val="center"/>
              <w:rPr>
                <w:rFonts w:cs="Mongolian Baiti"/>
              </w:rPr>
            </w:pPr>
            <w:r w:rsidRPr="002127DF">
              <w:rPr>
                <w:rFonts w:cs="Mongolian Baiti" w:hint="eastAsia"/>
              </w:rPr>
              <w:t>台湾证券交易所</w:t>
            </w:r>
          </w:p>
        </w:tc>
        <w:tc>
          <w:tcPr>
            <w:tcW w:w="4253" w:type="dxa"/>
            <w:vAlign w:val="center"/>
          </w:tcPr>
          <w:p w:rsidR="00410FF1" w:rsidRPr="002127DF" w:rsidRDefault="00410FF1" w:rsidP="00410FF1">
            <w:pPr>
              <w:jc w:val="center"/>
              <w:rPr>
                <w:rFonts w:cs="Mongolian Baiti"/>
              </w:rPr>
            </w:pPr>
            <w:r w:rsidRPr="002127DF">
              <w:rPr>
                <w:rFonts w:cs="Mongolian Baiti" w:hint="eastAsia"/>
              </w:rPr>
              <w:t>Taiwan Stock Exchange Corporation</w:t>
            </w:r>
          </w:p>
        </w:tc>
        <w:tc>
          <w:tcPr>
            <w:tcW w:w="1276" w:type="dxa"/>
            <w:vAlign w:val="center"/>
          </w:tcPr>
          <w:p w:rsidR="00410FF1" w:rsidRPr="002127DF" w:rsidRDefault="00410FF1" w:rsidP="00410FF1">
            <w:pPr>
              <w:jc w:val="center"/>
              <w:rPr>
                <w:rFonts w:cs="Mongolian Baiti"/>
              </w:rPr>
            </w:pPr>
            <w:r w:rsidRPr="002127DF">
              <w:rPr>
                <w:rFonts w:cs="Mongolian Baiti" w:hint="eastAsia"/>
              </w:rPr>
              <w:t>台交所</w:t>
            </w:r>
          </w:p>
        </w:tc>
      </w:tr>
    </w:tbl>
    <w:p w:rsidR="00596D15" w:rsidRPr="002127DF" w:rsidRDefault="00596D15" w:rsidP="00596D15">
      <w:pPr>
        <w:rPr>
          <w:rStyle w:val="a8"/>
          <w:rFonts w:eastAsia="黑体" w:cs="Arial"/>
          <w:color w:val="C00000"/>
        </w:rPr>
      </w:pPr>
    </w:p>
    <w:p w:rsidR="002709A0" w:rsidRPr="002127DF" w:rsidRDefault="002709A0">
      <w:pPr>
        <w:rPr>
          <w:rStyle w:val="a8"/>
          <w:rFonts w:eastAsia="黑体" w:cs="Arial"/>
          <w:color w:val="C00000"/>
          <w:u w:val="none"/>
        </w:rPr>
      </w:pPr>
      <w:r w:rsidRPr="002127DF">
        <w:rPr>
          <w:rStyle w:val="a8"/>
          <w:rFonts w:eastAsia="黑体" w:cs="Arial"/>
          <w:color w:val="C00000"/>
          <w:u w:val="none"/>
        </w:rPr>
        <w:br w:type="page"/>
      </w:r>
    </w:p>
    <w:p w:rsidR="00596D15" w:rsidRPr="002127DF" w:rsidRDefault="009D05E8" w:rsidP="00596D15">
      <w:pPr>
        <w:spacing w:line="360" w:lineRule="auto"/>
        <w:rPr>
          <w:rStyle w:val="a8"/>
          <w:rFonts w:eastAsia="黑体" w:cs="Arial"/>
          <w:color w:val="C00000"/>
        </w:rPr>
      </w:pPr>
      <w:r>
        <w:rPr>
          <w:rFonts w:eastAsia="黑体" w:cs="Arial"/>
          <w:noProof/>
          <w:color w:val="C00000"/>
          <w:u w:val="single"/>
        </w:rPr>
        <w:lastRenderedPageBreak/>
        <w:pict>
          <v:rect id="_x0000_s1041" style="position:absolute;margin-left:-6.35pt;margin-top:2.05pt;width:442.45pt;height:39.5pt;z-index:251666432" o:gfxdata="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B8Oy+W1AAAAAcBAAAPAAAAAAAAAAEAIAAAACIAAABkcnMv&#10;ZG93bnJldi54bWxQSwECFAAUAAAACACHTuJAXZhg1gcCAABbBAAADgAAAAAAAAABACAAAAAjAQAA&#10;ZHJzL2Uyb0RvYy54bWxQSwUGAAAAAAYABgBZAQAAnAUAAAAA&#10;" fillcolor="#f8fafc" strokecolor="#f8fafc">
            <v:textbox>
              <w:txbxContent>
                <w:p w:rsidR="00215560" w:rsidRDefault="00215560" w:rsidP="00215560">
                  <w:pPr>
                    <w:spacing w:line="360" w:lineRule="auto"/>
                    <w:rPr>
                      <w:rFonts w:ascii="Arial Narrow" w:eastAsia="宋体" w:hAnsi="Arial Narrow" w:cs="Mongolian Baiti"/>
                      <w:b/>
                      <w:color w:val="1F3864" w:themeColor="accent1" w:themeShade="80"/>
                      <w:sz w:val="28"/>
                      <w:szCs w:val="28"/>
                    </w:rPr>
                  </w:pPr>
                  <w:r>
                    <w:rPr>
                      <w:rFonts w:ascii="华文新魏" w:eastAsia="华文新魏" w:hAnsi="黑体" w:hint="eastAsia"/>
                      <w:b/>
                      <w:color w:val="1F3864" w:themeColor="accent1" w:themeShade="80"/>
                      <w:sz w:val="36"/>
                      <w:szCs w:val="36"/>
                    </w:rPr>
                    <w:t xml:space="preserve">投资者教育 </w:t>
                  </w:r>
                  <w:r>
                    <w:rPr>
                      <w:rFonts w:ascii="Arial Narrow" w:hAnsi="Arial Narrow" w:cs="Mongolian Baiti"/>
                      <w:b/>
                      <w:color w:val="1F3864" w:themeColor="accent1" w:themeShade="80"/>
                      <w:sz w:val="28"/>
                      <w:szCs w:val="28"/>
                    </w:rPr>
                    <w:t>INVESTOR EDUCATION</w:t>
                  </w:r>
                </w:p>
                <w:p w:rsidR="00215560" w:rsidRDefault="00215560" w:rsidP="00215560"/>
              </w:txbxContent>
            </v:textbox>
          </v:rect>
        </w:pict>
      </w:r>
    </w:p>
    <w:p w:rsidR="003961A3" w:rsidRPr="003961A3" w:rsidRDefault="00596D15" w:rsidP="003961A3">
      <w:pPr>
        <w:spacing w:line="360" w:lineRule="auto"/>
        <w:rPr>
          <w:rFonts w:eastAsia="黑体" w:cs="Arial"/>
          <w:color w:val="C00000"/>
        </w:rPr>
      </w:pPr>
      <w:r w:rsidRPr="002127DF">
        <w:rPr>
          <w:rStyle w:val="a8"/>
          <w:rFonts w:eastAsia="黑体" w:cs="Arial" w:hint="eastAsia"/>
          <w:color w:val="C00000"/>
          <w:u w:val="none"/>
        </w:rPr>
        <w:t xml:space="preserve"> </w:t>
      </w:r>
    </w:p>
    <w:p w:rsidR="00596D15" w:rsidRPr="002127DF" w:rsidRDefault="007B66DB" w:rsidP="00271F14">
      <w:pPr>
        <w:spacing w:beforeLines="100" w:afterLines="100"/>
        <w:outlineLvl w:val="1"/>
        <w:rPr>
          <w:rFonts w:eastAsia="黑体"/>
          <w:b/>
          <w:sz w:val="30"/>
          <w:szCs w:val="30"/>
        </w:rPr>
      </w:pPr>
      <w:r w:rsidRPr="002127DF">
        <w:rPr>
          <w:rFonts w:eastAsia="黑体" w:hint="eastAsia"/>
          <w:b/>
          <w:sz w:val="30"/>
          <w:szCs w:val="30"/>
        </w:rPr>
        <w:t>WFE</w:t>
      </w:r>
      <w:r w:rsidR="00596D15" w:rsidRPr="002127DF">
        <w:rPr>
          <w:rFonts w:eastAsia="黑体" w:hAnsi="黑体" w:hint="eastAsia"/>
          <w:b/>
          <w:sz w:val="30"/>
          <w:szCs w:val="30"/>
        </w:rPr>
        <w:t>：发布第二份关于推动国际投资者参与新兴市场因素的报告</w:t>
      </w:r>
    </w:p>
    <w:p w:rsidR="00596D15" w:rsidRPr="002127DF" w:rsidRDefault="00596D15" w:rsidP="00596D15">
      <w:pPr>
        <w:ind w:firstLineChars="200" w:firstLine="600"/>
        <w:rPr>
          <w:rFonts w:eastAsia="仿宋_GB2312"/>
          <w:sz w:val="30"/>
          <w:szCs w:val="30"/>
        </w:rPr>
      </w:pPr>
      <w:r w:rsidRPr="002127DF">
        <w:rPr>
          <w:rFonts w:eastAsia="仿宋_GB2312" w:hint="eastAsia"/>
          <w:sz w:val="30"/>
          <w:szCs w:val="30"/>
        </w:rPr>
        <w:t>2019</w:t>
      </w:r>
      <w:r w:rsidRPr="002127DF">
        <w:rPr>
          <w:rFonts w:eastAsia="仿宋_GB2312" w:hint="eastAsia"/>
          <w:sz w:val="30"/>
          <w:szCs w:val="30"/>
        </w:rPr>
        <w:t>年</w:t>
      </w:r>
      <w:r w:rsidRPr="002127DF">
        <w:rPr>
          <w:rFonts w:eastAsia="仿宋_GB2312" w:hint="eastAsia"/>
          <w:sz w:val="30"/>
          <w:szCs w:val="30"/>
        </w:rPr>
        <w:t>1</w:t>
      </w:r>
      <w:r w:rsidRPr="002127DF">
        <w:rPr>
          <w:rFonts w:eastAsia="仿宋_GB2312" w:hint="eastAsia"/>
          <w:sz w:val="30"/>
          <w:szCs w:val="30"/>
        </w:rPr>
        <w:t>月</w:t>
      </w:r>
      <w:r w:rsidRPr="002127DF">
        <w:rPr>
          <w:rFonts w:eastAsia="仿宋_GB2312" w:hint="eastAsia"/>
          <w:sz w:val="30"/>
          <w:szCs w:val="30"/>
        </w:rPr>
        <w:t>21</w:t>
      </w:r>
      <w:r w:rsidRPr="002127DF">
        <w:rPr>
          <w:rFonts w:eastAsia="仿宋_GB2312" w:hint="eastAsia"/>
          <w:sz w:val="30"/>
          <w:szCs w:val="30"/>
        </w:rPr>
        <w:t>日，世界交易所联合会（</w:t>
      </w:r>
      <w:r w:rsidRPr="002127DF">
        <w:rPr>
          <w:rFonts w:eastAsia="仿宋_GB2312" w:hint="eastAsia"/>
          <w:sz w:val="30"/>
          <w:szCs w:val="30"/>
        </w:rPr>
        <w:t>WFE</w:t>
      </w:r>
      <w:r w:rsidRPr="002127DF">
        <w:rPr>
          <w:rFonts w:eastAsia="仿宋_GB2312" w:hint="eastAsia"/>
          <w:sz w:val="30"/>
          <w:szCs w:val="30"/>
        </w:rPr>
        <w:t>）发布了一份报告，旨在从投资者的角度，研究有关鼓励或阻碍国际投资者参与新兴市场的因素。</w:t>
      </w:r>
    </w:p>
    <w:p w:rsidR="00596D15" w:rsidRPr="002127DF" w:rsidRDefault="00596D15" w:rsidP="00596D15">
      <w:pPr>
        <w:ind w:firstLineChars="200" w:firstLine="600"/>
        <w:rPr>
          <w:rFonts w:eastAsia="仿宋_GB2312"/>
          <w:sz w:val="30"/>
          <w:szCs w:val="30"/>
        </w:rPr>
      </w:pPr>
      <w:r w:rsidRPr="002127DF">
        <w:rPr>
          <w:rFonts w:eastAsia="仿宋_GB2312" w:hint="eastAsia"/>
          <w:sz w:val="30"/>
          <w:szCs w:val="30"/>
        </w:rPr>
        <w:t>此份研究报告是在欧洲复兴开发银行（</w:t>
      </w:r>
      <w:r w:rsidRPr="002127DF">
        <w:rPr>
          <w:rFonts w:eastAsia="仿宋_GB2312" w:hint="eastAsia"/>
          <w:sz w:val="30"/>
          <w:szCs w:val="30"/>
        </w:rPr>
        <w:t>EBRD</w:t>
      </w:r>
      <w:r w:rsidRPr="002127DF">
        <w:rPr>
          <w:rFonts w:eastAsia="仿宋_GB2312" w:hint="eastAsia"/>
          <w:sz w:val="30"/>
          <w:szCs w:val="30"/>
        </w:rPr>
        <w:t>）的支持下编写的，目的是通过投资者自身的报告，使交易所、证券监管机构和政策决策者更深入地了解推动投资者决策的因素。鉴于国际投资者对新兴市场和前沿市场的贡献，例如为当地经济发展提供资本、分担风险以及有助于降低价格波动，更好地了解投资者动机是市场发展和能力建设计划的关键组成部分。这篇定性报告是</w:t>
      </w:r>
      <w:r w:rsidRPr="002127DF">
        <w:rPr>
          <w:rFonts w:eastAsia="仿宋_GB2312" w:hint="eastAsia"/>
          <w:sz w:val="30"/>
          <w:szCs w:val="30"/>
        </w:rPr>
        <w:t>WFE</w:t>
      </w:r>
      <w:r w:rsidRPr="002127DF">
        <w:rPr>
          <w:rFonts w:eastAsia="仿宋_GB2312" w:hint="eastAsia"/>
          <w:sz w:val="30"/>
          <w:szCs w:val="30"/>
        </w:rPr>
        <w:t>根据其于</w:t>
      </w:r>
      <w:r w:rsidRPr="002127DF">
        <w:rPr>
          <w:rFonts w:eastAsia="仿宋_GB2312" w:hint="eastAsia"/>
          <w:sz w:val="30"/>
          <w:szCs w:val="30"/>
        </w:rPr>
        <w:t>2018</w:t>
      </w:r>
      <w:r w:rsidRPr="002127DF">
        <w:rPr>
          <w:rFonts w:eastAsia="仿宋_GB2312" w:hint="eastAsia"/>
          <w:sz w:val="30"/>
          <w:szCs w:val="30"/>
        </w:rPr>
        <w:t>年</w:t>
      </w:r>
      <w:r w:rsidRPr="002127DF">
        <w:rPr>
          <w:rFonts w:eastAsia="仿宋_GB2312" w:hint="eastAsia"/>
          <w:sz w:val="30"/>
          <w:szCs w:val="30"/>
        </w:rPr>
        <w:t>12</w:t>
      </w:r>
      <w:r w:rsidR="00127C2A" w:rsidRPr="002127DF">
        <w:rPr>
          <w:rFonts w:eastAsia="仿宋_GB2312" w:hint="eastAsia"/>
          <w:sz w:val="30"/>
          <w:szCs w:val="30"/>
        </w:rPr>
        <w:t>月发表的题为《吸引国际投资者进入新兴市场》的定量报告</w:t>
      </w:r>
      <w:r w:rsidRPr="002127DF">
        <w:rPr>
          <w:rFonts w:eastAsia="仿宋_GB2312" w:hint="eastAsia"/>
          <w:sz w:val="30"/>
          <w:szCs w:val="30"/>
        </w:rPr>
        <w:t>得出的。</w:t>
      </w:r>
    </w:p>
    <w:p w:rsidR="00596D15" w:rsidRPr="002127DF" w:rsidRDefault="00596D15" w:rsidP="00596D15">
      <w:pPr>
        <w:ind w:firstLineChars="200" w:firstLine="600"/>
        <w:rPr>
          <w:rFonts w:eastAsia="仿宋_GB2312"/>
          <w:sz w:val="30"/>
          <w:szCs w:val="30"/>
        </w:rPr>
      </w:pPr>
      <w:r w:rsidRPr="002127DF">
        <w:rPr>
          <w:rFonts w:eastAsia="仿宋_GB2312" w:hint="eastAsia"/>
          <w:sz w:val="30"/>
          <w:szCs w:val="30"/>
        </w:rPr>
        <w:t>报告的主要结论包括以下方面：一是对投资者来说，财务回报是重要，但是广泛的投资策略也将影响他们评估投资回报以及</w:t>
      </w:r>
      <w:r w:rsidR="006E783B" w:rsidRPr="002127DF">
        <w:rPr>
          <w:rFonts w:eastAsia="仿宋_GB2312" w:hint="eastAsia"/>
          <w:sz w:val="30"/>
          <w:szCs w:val="30"/>
        </w:rPr>
        <w:t>做出</w:t>
      </w:r>
      <w:r w:rsidRPr="002127DF">
        <w:rPr>
          <w:rFonts w:eastAsia="仿宋_GB2312" w:hint="eastAsia"/>
          <w:sz w:val="30"/>
          <w:szCs w:val="30"/>
        </w:rPr>
        <w:t>投资决策；二是边境（较小）市场较难取得与新兴市场相同的关注度；三是股票所有权的不确定性会阻止投资者进行投资；四是流动性的问题令人担忧，但不同投资者会以不同的方式来衡量（例如，在市场层面与在个别股票层面）；五是市场基础设施功能的重要性（包括电子交易平台的存在、卖空能力、做市商的</w:t>
      </w:r>
      <w:r w:rsidRPr="002127DF">
        <w:rPr>
          <w:rFonts w:eastAsia="仿宋_GB2312" w:hint="eastAsia"/>
          <w:sz w:val="30"/>
          <w:szCs w:val="30"/>
        </w:rPr>
        <w:lastRenderedPageBreak/>
        <w:t>存在以及从事证券借贷的能力）因人而异；六是环境、社会和治理（</w:t>
      </w:r>
      <w:r w:rsidRPr="002127DF">
        <w:rPr>
          <w:rFonts w:eastAsia="仿宋_GB2312" w:hint="eastAsia"/>
          <w:sz w:val="30"/>
          <w:szCs w:val="30"/>
        </w:rPr>
        <w:t>ESG</w:t>
      </w:r>
      <w:r w:rsidRPr="002127DF">
        <w:rPr>
          <w:rFonts w:eastAsia="仿宋_GB2312" w:hint="eastAsia"/>
          <w:sz w:val="30"/>
          <w:szCs w:val="30"/>
        </w:rPr>
        <w:t>）因素在评估投资时非常重要，在某些情况下，</w:t>
      </w:r>
      <w:r w:rsidRPr="002127DF">
        <w:rPr>
          <w:rFonts w:eastAsia="仿宋_GB2312" w:hint="eastAsia"/>
          <w:sz w:val="30"/>
          <w:szCs w:val="30"/>
        </w:rPr>
        <w:t>ESG</w:t>
      </w:r>
      <w:r w:rsidRPr="002127DF">
        <w:rPr>
          <w:rFonts w:eastAsia="仿宋_GB2312" w:hint="eastAsia"/>
          <w:sz w:val="30"/>
          <w:szCs w:val="30"/>
        </w:rPr>
        <w:t>表现不佳会影响投资，但也有投资者表示，他们将与公司沟通，寻求改善</w:t>
      </w:r>
      <w:r w:rsidRPr="002127DF">
        <w:rPr>
          <w:rFonts w:eastAsia="仿宋_GB2312" w:hint="eastAsia"/>
          <w:sz w:val="30"/>
          <w:szCs w:val="30"/>
        </w:rPr>
        <w:t>ESG</w:t>
      </w:r>
      <w:r w:rsidRPr="002127DF">
        <w:rPr>
          <w:rFonts w:eastAsia="仿宋_GB2312" w:hint="eastAsia"/>
          <w:sz w:val="30"/>
          <w:szCs w:val="30"/>
        </w:rPr>
        <w:t>相关指标。</w:t>
      </w:r>
    </w:p>
    <w:p w:rsidR="00596D15" w:rsidRPr="002127DF" w:rsidRDefault="00596D15" w:rsidP="00596D15">
      <w:pPr>
        <w:ind w:firstLineChars="200" w:firstLine="600"/>
        <w:rPr>
          <w:rFonts w:eastAsia="仿宋_GB2312"/>
          <w:sz w:val="30"/>
          <w:szCs w:val="30"/>
        </w:rPr>
      </w:pPr>
      <w:r w:rsidRPr="002127DF">
        <w:rPr>
          <w:rFonts w:eastAsia="仿宋_GB2312" w:hint="eastAsia"/>
          <w:sz w:val="30"/>
          <w:szCs w:val="30"/>
        </w:rPr>
        <w:t>报告在最后</w:t>
      </w:r>
      <w:r w:rsidR="00D36882" w:rsidRPr="002127DF">
        <w:rPr>
          <w:rFonts w:eastAsia="仿宋_GB2312" w:hint="eastAsia"/>
          <w:sz w:val="30"/>
          <w:szCs w:val="30"/>
        </w:rPr>
        <w:t>部分</w:t>
      </w:r>
      <w:r w:rsidRPr="002127DF">
        <w:rPr>
          <w:rFonts w:eastAsia="仿宋_GB2312" w:hint="eastAsia"/>
          <w:sz w:val="30"/>
          <w:szCs w:val="30"/>
        </w:rPr>
        <w:t>提出了提升国际投资者水平的建议，包括：一是降低直接和间接投资成本，例如，降低开立投资账户所需花费的时间和精力，以及获取信息的成本；二是加强上市公司的公司治理，并宣传</w:t>
      </w:r>
      <w:r w:rsidRPr="002127DF">
        <w:rPr>
          <w:rFonts w:eastAsia="仿宋_GB2312" w:hint="eastAsia"/>
          <w:sz w:val="30"/>
          <w:szCs w:val="30"/>
        </w:rPr>
        <w:t>ESG</w:t>
      </w:r>
      <w:r w:rsidRPr="002127DF">
        <w:rPr>
          <w:rFonts w:eastAsia="仿宋_GB2312" w:hint="eastAsia"/>
          <w:sz w:val="30"/>
          <w:szCs w:val="30"/>
        </w:rPr>
        <w:t>与其业务的相关性，以及扩大投资者的范围；三是增加对市场基础设施改进的投资，以促进市场的改善；四是发展本地投资者基数，包括强大的本地资产管理者。</w:t>
      </w:r>
    </w:p>
    <w:p w:rsidR="003961A3" w:rsidRDefault="00596D15" w:rsidP="003961A3">
      <w:pPr>
        <w:ind w:firstLineChars="200" w:firstLine="600"/>
        <w:rPr>
          <w:rStyle w:val="a8"/>
          <w:color w:val="auto"/>
          <w:sz w:val="30"/>
          <w:szCs w:val="30"/>
          <w:u w:val="none"/>
        </w:rPr>
      </w:pPr>
      <w:r w:rsidRPr="002127DF">
        <w:rPr>
          <w:rStyle w:val="a8"/>
          <w:rFonts w:cs="Arial" w:hint="eastAsia"/>
          <w:color w:val="auto"/>
          <w:sz w:val="30"/>
          <w:szCs w:val="30"/>
          <w:u w:val="none"/>
        </w:rPr>
        <w:t>网址链接：</w:t>
      </w:r>
    </w:p>
    <w:p w:rsidR="00596D15" w:rsidRDefault="009D05E8" w:rsidP="003961A3">
      <w:pPr>
        <w:ind w:firstLineChars="200" w:firstLine="480"/>
      </w:pPr>
      <w:hyperlink r:id="rId6" w:history="1">
        <w:r w:rsidR="00596D15" w:rsidRPr="002127DF">
          <w:rPr>
            <w:rStyle w:val="a8"/>
            <w:rFonts w:eastAsia="仿宋_GB2312" w:hint="eastAsia"/>
            <w:sz w:val="30"/>
            <w:szCs w:val="30"/>
          </w:rPr>
          <w:t>https://www.world-exchanges.org/news/articles/world-federation-exchanges-publishes-second-report-factors-drive-international-investor-participation-emerging-markets1</w:t>
        </w:r>
      </w:hyperlink>
    </w:p>
    <w:p w:rsidR="007B4FBA" w:rsidRPr="003961A3" w:rsidRDefault="007B4FBA" w:rsidP="007B4FBA">
      <w:pPr>
        <w:rPr>
          <w:sz w:val="30"/>
          <w:szCs w:val="30"/>
        </w:rPr>
      </w:pPr>
    </w:p>
    <w:p w:rsidR="00596D15" w:rsidRPr="002127DF" w:rsidRDefault="00596D15" w:rsidP="00271F14">
      <w:pPr>
        <w:spacing w:beforeLines="100" w:afterLines="100"/>
        <w:outlineLvl w:val="1"/>
        <w:rPr>
          <w:rFonts w:eastAsia="黑体"/>
          <w:b/>
          <w:kern w:val="2"/>
          <w:sz w:val="30"/>
          <w:szCs w:val="30"/>
        </w:rPr>
      </w:pPr>
      <w:r w:rsidRPr="002127DF">
        <w:rPr>
          <w:rFonts w:eastAsia="黑体" w:hAnsi="黑体" w:hint="eastAsia"/>
          <w:b/>
          <w:kern w:val="2"/>
          <w:sz w:val="30"/>
          <w:szCs w:val="30"/>
        </w:rPr>
        <w:t>美国</w:t>
      </w:r>
      <w:r w:rsidRPr="002127DF">
        <w:rPr>
          <w:rFonts w:eastAsia="黑体" w:hint="eastAsia"/>
          <w:b/>
          <w:kern w:val="2"/>
          <w:sz w:val="30"/>
          <w:szCs w:val="30"/>
        </w:rPr>
        <w:t>“</w:t>
      </w:r>
      <w:r w:rsidRPr="002127DF">
        <w:rPr>
          <w:rFonts w:eastAsia="黑体" w:hAnsi="黑体" w:hint="eastAsia"/>
          <w:b/>
          <w:kern w:val="2"/>
          <w:sz w:val="30"/>
          <w:szCs w:val="30"/>
        </w:rPr>
        <w:t>跳跃起飞</w:t>
      </w:r>
      <w:r w:rsidRPr="002127DF">
        <w:rPr>
          <w:rFonts w:eastAsia="黑体" w:hint="eastAsia"/>
          <w:b/>
          <w:kern w:val="2"/>
          <w:sz w:val="30"/>
          <w:szCs w:val="30"/>
        </w:rPr>
        <w:t>”</w:t>
      </w:r>
      <w:r w:rsidRPr="002127DF">
        <w:rPr>
          <w:rFonts w:eastAsia="黑体" w:hAnsi="黑体" w:hint="eastAsia"/>
          <w:b/>
          <w:kern w:val="2"/>
          <w:sz w:val="30"/>
          <w:szCs w:val="30"/>
        </w:rPr>
        <w:t>组织：举办</w:t>
      </w:r>
      <w:r w:rsidRPr="002127DF">
        <w:rPr>
          <w:rFonts w:eastAsia="黑体" w:hint="eastAsia"/>
          <w:b/>
          <w:kern w:val="2"/>
          <w:sz w:val="30"/>
          <w:szCs w:val="30"/>
        </w:rPr>
        <w:t>“</w:t>
      </w:r>
      <w:r w:rsidRPr="002127DF">
        <w:rPr>
          <w:rFonts w:eastAsia="黑体" w:hAnsi="黑体" w:hint="eastAsia"/>
          <w:b/>
          <w:kern w:val="2"/>
          <w:sz w:val="30"/>
          <w:szCs w:val="30"/>
        </w:rPr>
        <w:t>检查你的学校</w:t>
      </w:r>
      <w:r w:rsidRPr="002127DF">
        <w:rPr>
          <w:rFonts w:eastAsia="黑体" w:hint="eastAsia"/>
          <w:b/>
          <w:kern w:val="2"/>
          <w:sz w:val="30"/>
          <w:szCs w:val="30"/>
        </w:rPr>
        <w:t>”</w:t>
      </w:r>
      <w:r w:rsidRPr="002127DF">
        <w:rPr>
          <w:rFonts w:eastAsia="黑体" w:hAnsi="黑体" w:hint="eastAsia"/>
          <w:b/>
          <w:kern w:val="2"/>
          <w:sz w:val="30"/>
          <w:szCs w:val="30"/>
        </w:rPr>
        <w:t>活动，向青少年介绍财经知识</w:t>
      </w:r>
    </w:p>
    <w:p w:rsidR="00596D15" w:rsidRPr="002127DF" w:rsidRDefault="00596D15" w:rsidP="00596D15">
      <w:pPr>
        <w:shd w:val="clear" w:color="auto" w:fill="FFFFFF"/>
        <w:spacing w:line="450" w:lineRule="atLeast"/>
        <w:ind w:firstLineChars="200" w:firstLine="600"/>
        <w:textAlignment w:val="baseline"/>
        <w:rPr>
          <w:rFonts w:cs="宋体"/>
          <w:sz w:val="30"/>
          <w:szCs w:val="30"/>
        </w:rPr>
      </w:pPr>
      <w:r w:rsidRPr="002127DF">
        <w:rPr>
          <w:rFonts w:cs="宋体" w:hint="eastAsia"/>
          <w:sz w:val="30"/>
          <w:szCs w:val="30"/>
        </w:rPr>
        <w:t>2019</w:t>
      </w:r>
      <w:r w:rsidRPr="002127DF">
        <w:rPr>
          <w:rFonts w:cs="宋体" w:hint="eastAsia"/>
          <w:sz w:val="30"/>
          <w:szCs w:val="30"/>
        </w:rPr>
        <w:t>年</w:t>
      </w:r>
      <w:r w:rsidRPr="002127DF">
        <w:rPr>
          <w:rFonts w:cs="宋体" w:hint="eastAsia"/>
          <w:sz w:val="30"/>
          <w:szCs w:val="30"/>
        </w:rPr>
        <w:t>1</w:t>
      </w:r>
      <w:r w:rsidRPr="002127DF">
        <w:rPr>
          <w:rFonts w:cs="宋体" w:hint="eastAsia"/>
          <w:sz w:val="30"/>
          <w:szCs w:val="30"/>
        </w:rPr>
        <w:t>月</w:t>
      </w:r>
      <w:r w:rsidRPr="002127DF">
        <w:rPr>
          <w:rFonts w:cs="宋体" w:hint="eastAsia"/>
          <w:sz w:val="30"/>
          <w:szCs w:val="30"/>
        </w:rPr>
        <w:t>20</w:t>
      </w:r>
      <w:r w:rsidRPr="002127DF">
        <w:rPr>
          <w:rFonts w:cs="宋体" w:hint="eastAsia"/>
          <w:sz w:val="30"/>
          <w:szCs w:val="30"/>
        </w:rPr>
        <w:t>日，美国“跳跃起飞”（</w:t>
      </w:r>
      <w:r w:rsidRPr="002127DF">
        <w:rPr>
          <w:rFonts w:cs="宋体" w:hint="eastAsia"/>
          <w:sz w:val="30"/>
          <w:szCs w:val="30"/>
        </w:rPr>
        <w:t>Jump Start</w:t>
      </w:r>
      <w:r w:rsidRPr="002127DF">
        <w:rPr>
          <w:rFonts w:cs="宋体" w:hint="eastAsia"/>
          <w:sz w:val="30"/>
          <w:szCs w:val="30"/>
        </w:rPr>
        <w:t>）个人财经素养联盟发布了“检查你的学校”（</w:t>
      </w:r>
      <w:r w:rsidRPr="002127DF">
        <w:rPr>
          <w:rFonts w:cs="宋体" w:hint="eastAsia"/>
          <w:sz w:val="30"/>
          <w:szCs w:val="30"/>
        </w:rPr>
        <w:t>Check Your School</w:t>
      </w:r>
      <w:r w:rsidRPr="002127DF">
        <w:rPr>
          <w:rFonts w:cs="宋体" w:hint="eastAsia"/>
          <w:sz w:val="30"/>
          <w:szCs w:val="30"/>
        </w:rPr>
        <w:t>）活动的网站</w:t>
      </w:r>
      <w:r w:rsidRPr="002127DF">
        <w:rPr>
          <w:rFonts w:cs="宋体" w:hint="eastAsia"/>
          <w:sz w:val="30"/>
          <w:szCs w:val="30"/>
        </w:rPr>
        <w:t>:checkyourschool.org</w:t>
      </w:r>
      <w:r w:rsidRPr="002127DF">
        <w:rPr>
          <w:rFonts w:cs="宋体" w:hint="eastAsia"/>
          <w:sz w:val="30"/>
          <w:szCs w:val="30"/>
        </w:rPr>
        <w:t>。</w:t>
      </w:r>
    </w:p>
    <w:p w:rsidR="00596D15" w:rsidRPr="002127DF" w:rsidRDefault="00596D15" w:rsidP="00596D15">
      <w:pPr>
        <w:shd w:val="clear" w:color="auto" w:fill="FFFFFF"/>
        <w:spacing w:line="450" w:lineRule="atLeast"/>
        <w:ind w:firstLineChars="200" w:firstLine="600"/>
        <w:textAlignment w:val="baseline"/>
        <w:rPr>
          <w:rFonts w:cs="宋体"/>
          <w:sz w:val="30"/>
          <w:szCs w:val="30"/>
        </w:rPr>
      </w:pPr>
      <w:r w:rsidRPr="002127DF">
        <w:rPr>
          <w:rFonts w:cs="宋体" w:hint="eastAsia"/>
          <w:sz w:val="30"/>
          <w:szCs w:val="30"/>
        </w:rPr>
        <w:lastRenderedPageBreak/>
        <w:t>“</w:t>
      </w:r>
      <w:r w:rsidRPr="002127DF">
        <w:rPr>
          <w:rFonts w:cs="宋体" w:hint="eastAsia"/>
          <w:sz w:val="30"/>
          <w:szCs w:val="30"/>
        </w:rPr>
        <w:t>Jump Start</w:t>
      </w:r>
      <w:r w:rsidRPr="002127DF">
        <w:rPr>
          <w:rFonts w:cs="宋体" w:hint="eastAsia"/>
          <w:sz w:val="30"/>
          <w:szCs w:val="30"/>
        </w:rPr>
        <w:t>”在</w:t>
      </w:r>
      <w:r w:rsidRPr="002127DF">
        <w:rPr>
          <w:rFonts w:cs="宋体" w:hint="eastAsia"/>
          <w:sz w:val="30"/>
          <w:szCs w:val="30"/>
        </w:rPr>
        <w:t>2018</w:t>
      </w:r>
      <w:r w:rsidRPr="002127DF">
        <w:rPr>
          <w:rFonts w:cs="宋体" w:hint="eastAsia"/>
          <w:sz w:val="30"/>
          <w:szCs w:val="30"/>
        </w:rPr>
        <w:t>年财经</w:t>
      </w:r>
      <w:proofErr w:type="gramStart"/>
      <w:r w:rsidRPr="002127DF">
        <w:rPr>
          <w:rFonts w:cs="宋体" w:hint="eastAsia"/>
          <w:sz w:val="30"/>
          <w:szCs w:val="30"/>
        </w:rPr>
        <w:t>素养月</w:t>
      </w:r>
      <w:proofErr w:type="gramEnd"/>
      <w:r w:rsidRPr="002127DF">
        <w:rPr>
          <w:rFonts w:cs="宋体" w:hint="eastAsia"/>
          <w:sz w:val="30"/>
          <w:szCs w:val="30"/>
        </w:rPr>
        <w:t>举办的全国合作伙伴会议上宣布成立“</w:t>
      </w:r>
      <w:r w:rsidRPr="002127DF">
        <w:rPr>
          <w:rFonts w:cs="宋体" w:hint="eastAsia"/>
          <w:sz w:val="30"/>
          <w:szCs w:val="30"/>
        </w:rPr>
        <w:t>Check Your School</w:t>
      </w:r>
      <w:r w:rsidRPr="002127DF">
        <w:rPr>
          <w:rFonts w:cs="宋体" w:hint="eastAsia"/>
          <w:sz w:val="30"/>
          <w:szCs w:val="30"/>
        </w:rPr>
        <w:t>”活动。其主要目标是到</w:t>
      </w:r>
      <w:r w:rsidRPr="002127DF">
        <w:rPr>
          <w:rFonts w:cs="宋体" w:hint="eastAsia"/>
          <w:sz w:val="30"/>
          <w:szCs w:val="30"/>
        </w:rPr>
        <w:t>2025</w:t>
      </w:r>
      <w:r w:rsidRPr="002127DF">
        <w:rPr>
          <w:rFonts w:cs="宋体" w:hint="eastAsia"/>
          <w:sz w:val="30"/>
          <w:szCs w:val="30"/>
        </w:rPr>
        <w:t>年底，将美国金融教育课堂数量提升</w:t>
      </w:r>
      <w:r w:rsidRPr="002127DF">
        <w:rPr>
          <w:rFonts w:cs="宋体" w:hint="eastAsia"/>
          <w:sz w:val="30"/>
          <w:szCs w:val="30"/>
        </w:rPr>
        <w:t>25%</w:t>
      </w:r>
      <w:r w:rsidR="00473A62">
        <w:rPr>
          <w:rFonts w:cs="宋体" w:hint="eastAsia"/>
          <w:sz w:val="30"/>
          <w:szCs w:val="30"/>
        </w:rPr>
        <w:t>，支持目标包括：增加教师的专业发展机会，通过建议中小学</w:t>
      </w:r>
      <w:r w:rsidRPr="002127DF">
        <w:rPr>
          <w:rFonts w:cs="宋体" w:hint="eastAsia"/>
          <w:sz w:val="30"/>
          <w:szCs w:val="30"/>
        </w:rPr>
        <w:t>采取有效举措加强财经素养教育</w:t>
      </w:r>
      <w:r w:rsidR="00473A62">
        <w:rPr>
          <w:rFonts w:cs="宋体" w:hint="eastAsia"/>
          <w:sz w:val="30"/>
          <w:szCs w:val="30"/>
        </w:rPr>
        <w:t>等</w:t>
      </w:r>
      <w:r w:rsidRPr="002127DF">
        <w:rPr>
          <w:rFonts w:cs="宋体" w:hint="eastAsia"/>
          <w:sz w:val="30"/>
          <w:szCs w:val="30"/>
        </w:rPr>
        <w:t>。</w:t>
      </w:r>
    </w:p>
    <w:p w:rsidR="00596D15" w:rsidRPr="002127DF" w:rsidRDefault="00596D15" w:rsidP="00596D15">
      <w:pPr>
        <w:shd w:val="clear" w:color="auto" w:fill="FFFFFF"/>
        <w:spacing w:line="450" w:lineRule="atLeast"/>
        <w:ind w:firstLineChars="200" w:firstLine="600"/>
        <w:textAlignment w:val="baseline"/>
        <w:rPr>
          <w:rStyle w:val="tlid-translation"/>
          <w:sz w:val="30"/>
          <w:szCs w:val="30"/>
        </w:rPr>
      </w:pPr>
      <w:r w:rsidRPr="002127DF">
        <w:rPr>
          <w:rFonts w:cs="宋体" w:hint="eastAsia"/>
          <w:sz w:val="30"/>
          <w:szCs w:val="30"/>
        </w:rPr>
        <w:t>checkyourschool</w:t>
      </w:r>
      <w:r w:rsidRPr="002127DF">
        <w:rPr>
          <w:rStyle w:val="tlid-translation"/>
          <w:rFonts w:hint="eastAsia"/>
          <w:sz w:val="30"/>
          <w:szCs w:val="30"/>
        </w:rPr>
        <w:t>.org</w:t>
      </w:r>
      <w:r w:rsidRPr="002127DF">
        <w:rPr>
          <w:rStyle w:val="tlid-translation"/>
          <w:rFonts w:hint="eastAsia"/>
          <w:sz w:val="30"/>
          <w:szCs w:val="30"/>
        </w:rPr>
        <w:t>网站为学生的父母、祖父母、监护人、家人、朋友和邻居提供一个互动工具，使他们可</w:t>
      </w:r>
      <w:r w:rsidR="00473A62">
        <w:rPr>
          <w:rStyle w:val="tlid-translation"/>
          <w:rFonts w:hint="eastAsia"/>
          <w:sz w:val="30"/>
          <w:szCs w:val="30"/>
        </w:rPr>
        <w:t>以及时反馈学生在学校所接受的财经素养教育情况或者在此方面存在的</w:t>
      </w:r>
      <w:r w:rsidRPr="002127DF">
        <w:rPr>
          <w:rStyle w:val="tlid-translation"/>
          <w:rFonts w:hint="eastAsia"/>
          <w:sz w:val="30"/>
          <w:szCs w:val="30"/>
        </w:rPr>
        <w:t>缺失。最重要的是，可以使其找到有助于探讨财经知识重要性和有效开展财经教育必要性的工具和鼓励机制。</w:t>
      </w:r>
    </w:p>
    <w:p w:rsidR="00596D15" w:rsidRPr="002127DF" w:rsidRDefault="00596D15" w:rsidP="00596D15">
      <w:pPr>
        <w:shd w:val="clear" w:color="auto" w:fill="FFFFFF"/>
        <w:spacing w:line="450" w:lineRule="atLeast"/>
        <w:ind w:firstLineChars="200" w:firstLine="600"/>
        <w:textAlignment w:val="baseline"/>
        <w:rPr>
          <w:sz w:val="30"/>
          <w:szCs w:val="30"/>
        </w:rPr>
      </w:pPr>
      <w:r w:rsidRPr="002127DF">
        <w:rPr>
          <w:rStyle w:val="tlid-translation"/>
          <w:rFonts w:hint="eastAsia"/>
          <w:sz w:val="30"/>
          <w:szCs w:val="30"/>
        </w:rPr>
        <w:t>此外，网站还为个人或实体提供了展示如何加入活动的五个工具包，包括专为学生准备的工具包。工具包将帮助教育工作者和管理人员找到课程资源、标准、专业发展和其他支持，以帮助他们在课堂中引入或提升财经素养教育。</w:t>
      </w:r>
    </w:p>
    <w:p w:rsidR="00627EB3" w:rsidRDefault="00596D15" w:rsidP="00FC0BC5">
      <w:pPr>
        <w:ind w:firstLineChars="200" w:firstLine="600"/>
        <w:rPr>
          <w:kern w:val="2"/>
          <w:sz w:val="30"/>
          <w:szCs w:val="30"/>
        </w:rPr>
      </w:pPr>
      <w:r w:rsidRPr="002127DF">
        <w:rPr>
          <w:rFonts w:hint="eastAsia"/>
          <w:kern w:val="2"/>
          <w:sz w:val="30"/>
          <w:szCs w:val="30"/>
        </w:rPr>
        <w:t>网址链接</w:t>
      </w:r>
      <w:r w:rsidR="00627EB3">
        <w:rPr>
          <w:rFonts w:hint="eastAsia"/>
          <w:kern w:val="2"/>
          <w:sz w:val="30"/>
          <w:szCs w:val="30"/>
        </w:rPr>
        <w:t>：</w:t>
      </w:r>
    </w:p>
    <w:p w:rsidR="00596D15" w:rsidRPr="002127DF" w:rsidRDefault="009D05E8" w:rsidP="00627EB3">
      <w:pPr>
        <w:ind w:firstLineChars="200" w:firstLine="480"/>
        <w:rPr>
          <w:b/>
          <w:kern w:val="2"/>
          <w:sz w:val="30"/>
          <w:szCs w:val="30"/>
        </w:rPr>
      </w:pPr>
      <w:hyperlink r:id="rId7" w:history="1">
        <w:r w:rsidR="00596D15" w:rsidRPr="002127DF">
          <w:rPr>
            <w:rStyle w:val="a8"/>
            <w:rFonts w:hint="eastAsia"/>
            <w:kern w:val="2"/>
            <w:sz w:val="30"/>
            <w:szCs w:val="30"/>
          </w:rPr>
          <w:t>https://www.jumpstart.org/jumptart-launches-checkyourschool-campaign/</w:t>
        </w:r>
      </w:hyperlink>
    </w:p>
    <w:p w:rsidR="00596D15" w:rsidRPr="002127DF" w:rsidRDefault="00596D15" w:rsidP="00596D15">
      <w:pPr>
        <w:rPr>
          <w:kern w:val="2"/>
          <w:sz w:val="30"/>
          <w:szCs w:val="30"/>
        </w:rPr>
      </w:pPr>
    </w:p>
    <w:p w:rsidR="00596D15" w:rsidRPr="002127DF" w:rsidRDefault="007B66DB" w:rsidP="00271F14">
      <w:pPr>
        <w:spacing w:beforeLines="100" w:afterLines="100"/>
        <w:outlineLvl w:val="1"/>
        <w:rPr>
          <w:rStyle w:val="tlid-translation"/>
          <w:rFonts w:eastAsiaTheme="majorEastAsia"/>
          <w:b/>
          <w:sz w:val="30"/>
          <w:szCs w:val="30"/>
        </w:rPr>
      </w:pPr>
      <w:r w:rsidRPr="002127DF">
        <w:rPr>
          <w:rFonts w:eastAsia="黑体" w:cs="Mongolian Baiti" w:hint="eastAsia"/>
          <w:b/>
          <w:sz w:val="30"/>
          <w:szCs w:val="30"/>
        </w:rPr>
        <w:t>FRB</w:t>
      </w:r>
      <w:r w:rsidR="00596D15" w:rsidRPr="002127DF">
        <w:rPr>
          <w:rStyle w:val="a8"/>
          <w:rFonts w:eastAsia="黑体" w:hAnsi="黑体" w:hint="eastAsia"/>
          <w:b/>
          <w:color w:val="000000" w:themeColor="text1"/>
          <w:sz w:val="30"/>
          <w:szCs w:val="30"/>
          <w:u w:val="none"/>
        </w:rPr>
        <w:t>：</w:t>
      </w:r>
      <w:r w:rsidR="00596D15" w:rsidRPr="002127DF">
        <w:rPr>
          <w:rStyle w:val="tlid-translation"/>
          <w:rFonts w:eastAsia="黑体" w:hAnsi="黑体"/>
          <w:b/>
          <w:sz w:val="30"/>
          <w:szCs w:val="30"/>
        </w:rPr>
        <w:t>启动互动</w:t>
      </w:r>
      <w:r w:rsidR="00596D15" w:rsidRPr="002127DF">
        <w:rPr>
          <w:rStyle w:val="tlid-translation"/>
          <w:rFonts w:eastAsiaTheme="majorEastAsia" w:hAnsiTheme="majorEastAsia"/>
          <w:b/>
          <w:sz w:val="30"/>
          <w:szCs w:val="30"/>
        </w:rPr>
        <w:t>移动应用程序，向</w:t>
      </w:r>
      <w:r w:rsidR="00596D15" w:rsidRPr="002127DF">
        <w:rPr>
          <w:rStyle w:val="tlid-translation"/>
          <w:rFonts w:eastAsiaTheme="majorEastAsia" w:hAnsiTheme="majorEastAsia" w:hint="eastAsia"/>
          <w:b/>
          <w:sz w:val="30"/>
          <w:szCs w:val="30"/>
        </w:rPr>
        <w:t>小</w:t>
      </w:r>
      <w:r w:rsidR="00596D15" w:rsidRPr="002127DF">
        <w:rPr>
          <w:rStyle w:val="tlid-translation"/>
          <w:rFonts w:eastAsiaTheme="majorEastAsia" w:hAnsiTheme="majorEastAsia"/>
          <w:b/>
          <w:sz w:val="30"/>
          <w:szCs w:val="30"/>
        </w:rPr>
        <w:t>学生</w:t>
      </w:r>
      <w:r w:rsidR="00596D15" w:rsidRPr="002127DF">
        <w:rPr>
          <w:rStyle w:val="tlid-translation"/>
          <w:rFonts w:eastAsiaTheme="majorEastAsia" w:hAnsiTheme="majorEastAsia" w:hint="eastAsia"/>
          <w:b/>
          <w:sz w:val="30"/>
          <w:szCs w:val="30"/>
        </w:rPr>
        <w:t>介绍</w:t>
      </w:r>
      <w:r w:rsidR="00596D15" w:rsidRPr="002127DF">
        <w:rPr>
          <w:rStyle w:val="tlid-translation"/>
          <w:rFonts w:eastAsiaTheme="majorEastAsia" w:hAnsiTheme="majorEastAsia"/>
          <w:b/>
          <w:sz w:val="30"/>
          <w:szCs w:val="30"/>
        </w:rPr>
        <w:t>美联储</w:t>
      </w:r>
      <w:r w:rsidR="00596D15" w:rsidRPr="002127DF">
        <w:rPr>
          <w:rStyle w:val="tlid-translation"/>
          <w:rFonts w:eastAsiaTheme="majorEastAsia" w:hAnsiTheme="majorEastAsia" w:hint="eastAsia"/>
          <w:b/>
          <w:sz w:val="30"/>
          <w:szCs w:val="30"/>
        </w:rPr>
        <w:t>货币</w:t>
      </w:r>
      <w:r w:rsidR="00596D15" w:rsidRPr="002127DF">
        <w:rPr>
          <w:rStyle w:val="tlid-translation"/>
          <w:rFonts w:eastAsiaTheme="majorEastAsia" w:hAnsiTheme="majorEastAsia"/>
          <w:b/>
          <w:sz w:val="30"/>
          <w:szCs w:val="30"/>
        </w:rPr>
        <w:t>的安全性和设计特征</w:t>
      </w:r>
    </w:p>
    <w:p w:rsidR="00596D15" w:rsidRPr="002127DF" w:rsidRDefault="00596D15" w:rsidP="00596D15">
      <w:pPr>
        <w:ind w:firstLineChars="200" w:firstLine="600"/>
        <w:jc w:val="both"/>
        <w:rPr>
          <w:rStyle w:val="tlid-translation"/>
          <w:sz w:val="30"/>
          <w:szCs w:val="30"/>
        </w:rPr>
      </w:pPr>
      <w:r w:rsidRPr="002127DF">
        <w:rPr>
          <w:rStyle w:val="tlid-translation"/>
          <w:rFonts w:hint="eastAsia"/>
          <w:sz w:val="30"/>
          <w:szCs w:val="30"/>
        </w:rPr>
        <w:lastRenderedPageBreak/>
        <w:t>2019</w:t>
      </w:r>
      <w:r w:rsidRPr="002127DF">
        <w:rPr>
          <w:rStyle w:val="tlid-translation"/>
          <w:rFonts w:hint="eastAsia"/>
          <w:sz w:val="30"/>
          <w:szCs w:val="30"/>
        </w:rPr>
        <w:t>年</w:t>
      </w:r>
      <w:r w:rsidRPr="002127DF">
        <w:rPr>
          <w:rStyle w:val="tlid-translation"/>
          <w:rFonts w:hint="eastAsia"/>
          <w:sz w:val="30"/>
          <w:szCs w:val="30"/>
        </w:rPr>
        <w:t>1</w:t>
      </w:r>
      <w:r w:rsidRPr="002127DF">
        <w:rPr>
          <w:rStyle w:val="tlid-translation"/>
          <w:rFonts w:hint="eastAsia"/>
          <w:sz w:val="30"/>
          <w:szCs w:val="30"/>
        </w:rPr>
        <w:t>月</w:t>
      </w:r>
      <w:r w:rsidRPr="002127DF">
        <w:rPr>
          <w:rStyle w:val="tlid-translation"/>
          <w:rFonts w:hint="eastAsia"/>
          <w:sz w:val="30"/>
          <w:szCs w:val="30"/>
        </w:rPr>
        <w:t>16</w:t>
      </w:r>
      <w:r w:rsidR="00D36882" w:rsidRPr="002127DF">
        <w:rPr>
          <w:rStyle w:val="tlid-translation"/>
          <w:rFonts w:hint="eastAsia"/>
          <w:sz w:val="30"/>
          <w:szCs w:val="30"/>
        </w:rPr>
        <w:t>日，美国联邦储备委员会</w:t>
      </w:r>
      <w:r w:rsidRPr="002127DF">
        <w:rPr>
          <w:rStyle w:val="tlid-translation"/>
          <w:rFonts w:hint="eastAsia"/>
          <w:sz w:val="30"/>
          <w:szCs w:val="30"/>
        </w:rPr>
        <w:t>（</w:t>
      </w:r>
      <w:r w:rsidRPr="002127DF">
        <w:rPr>
          <w:rStyle w:val="tlid-translation"/>
          <w:rFonts w:hint="eastAsia"/>
          <w:sz w:val="30"/>
          <w:szCs w:val="30"/>
        </w:rPr>
        <w:t>FRB</w:t>
      </w:r>
      <w:r w:rsidRPr="002127DF">
        <w:rPr>
          <w:rStyle w:val="tlid-translation"/>
          <w:rFonts w:hint="eastAsia"/>
          <w:sz w:val="30"/>
          <w:szCs w:val="30"/>
        </w:rPr>
        <w:t>）推出了一款互动式智能手机和平板电脑应用程序，旨在向小学生介绍美联储货币的安全性和设计特征。该应用程序一定程度上补充了美联储</w:t>
      </w:r>
      <w:r w:rsidR="006F3890" w:rsidRPr="002127DF">
        <w:rPr>
          <w:rStyle w:val="tlid-translation"/>
          <w:rFonts w:hint="eastAsia"/>
          <w:sz w:val="30"/>
          <w:szCs w:val="30"/>
        </w:rPr>
        <w:t>委员会</w:t>
      </w:r>
      <w:r w:rsidRPr="002127DF">
        <w:rPr>
          <w:rStyle w:val="tlid-translation"/>
          <w:rFonts w:hint="eastAsia"/>
          <w:sz w:val="30"/>
          <w:szCs w:val="30"/>
        </w:rPr>
        <w:t>“货币教育计划”（</w:t>
      </w:r>
      <w:r w:rsidRPr="002127DF">
        <w:rPr>
          <w:rStyle w:val="tlid-translation"/>
          <w:rFonts w:hint="eastAsia"/>
          <w:sz w:val="30"/>
          <w:szCs w:val="30"/>
        </w:rPr>
        <w:t>www.uscurrency.gov</w:t>
      </w:r>
      <w:r w:rsidRPr="002127DF">
        <w:rPr>
          <w:rStyle w:val="tlid-translation"/>
          <w:rFonts w:hint="eastAsia"/>
          <w:sz w:val="30"/>
          <w:szCs w:val="30"/>
        </w:rPr>
        <w:t>）所提供的素材。</w:t>
      </w:r>
    </w:p>
    <w:p w:rsidR="00596D15" w:rsidRPr="002127DF" w:rsidRDefault="00596D15" w:rsidP="00596D15">
      <w:pPr>
        <w:ind w:firstLineChars="200" w:firstLine="600"/>
        <w:jc w:val="both"/>
        <w:rPr>
          <w:rStyle w:val="tlid-translation"/>
          <w:sz w:val="30"/>
          <w:szCs w:val="30"/>
        </w:rPr>
      </w:pPr>
      <w:r w:rsidRPr="002127DF">
        <w:rPr>
          <w:rStyle w:val="tlid-translation"/>
          <w:rFonts w:hint="eastAsia"/>
          <w:sz w:val="30"/>
          <w:szCs w:val="30"/>
        </w:rPr>
        <w:t>“金钱历险记”（</w:t>
      </w:r>
      <w:r w:rsidRPr="002127DF">
        <w:rPr>
          <w:rStyle w:val="tlid-translation"/>
          <w:rFonts w:hint="eastAsia"/>
          <w:sz w:val="30"/>
          <w:szCs w:val="30"/>
        </w:rPr>
        <w:t>Money Adventure</w:t>
      </w:r>
      <w:r w:rsidRPr="002127DF">
        <w:rPr>
          <w:rStyle w:val="tlid-translation"/>
          <w:rFonts w:hint="eastAsia"/>
          <w:sz w:val="30"/>
          <w:szCs w:val="30"/>
        </w:rPr>
        <w:t>）是美联储</w:t>
      </w:r>
      <w:r w:rsidR="006F3890" w:rsidRPr="002127DF">
        <w:rPr>
          <w:rStyle w:val="tlid-translation"/>
          <w:rFonts w:hint="eastAsia"/>
          <w:sz w:val="30"/>
          <w:szCs w:val="30"/>
        </w:rPr>
        <w:t>委员会</w:t>
      </w:r>
      <w:r w:rsidRPr="002127DF">
        <w:rPr>
          <w:rStyle w:val="tlid-translation"/>
          <w:rFonts w:hint="eastAsia"/>
          <w:sz w:val="30"/>
          <w:szCs w:val="30"/>
        </w:rPr>
        <w:t>的第一个公共移动应用程序，提供了英语和西班牙语两种教育课程。该应用程序的“</w:t>
      </w:r>
      <w:r w:rsidRPr="002127DF">
        <w:rPr>
          <w:rStyle w:val="tlid-translation"/>
          <w:rFonts w:hint="eastAsia"/>
          <w:sz w:val="30"/>
          <w:szCs w:val="30"/>
        </w:rPr>
        <w:t>note front explorer</w:t>
      </w:r>
      <w:r w:rsidRPr="002127DF">
        <w:rPr>
          <w:rStyle w:val="tlid-translation"/>
          <w:rFonts w:hint="eastAsia"/>
          <w:sz w:val="30"/>
          <w:szCs w:val="30"/>
        </w:rPr>
        <w:t>”展示了一张</w:t>
      </w:r>
      <w:r w:rsidRPr="002127DF">
        <w:rPr>
          <w:rStyle w:val="tlid-translation"/>
          <w:rFonts w:hint="eastAsia"/>
          <w:sz w:val="30"/>
          <w:szCs w:val="30"/>
        </w:rPr>
        <w:t>20</w:t>
      </w:r>
      <w:r w:rsidRPr="002127DF">
        <w:rPr>
          <w:rStyle w:val="tlid-translation"/>
          <w:rFonts w:hint="eastAsia"/>
          <w:sz w:val="30"/>
          <w:szCs w:val="30"/>
        </w:rPr>
        <w:t>美元的虚拟日记，通过时光历险游戏的方式，将现实情境融入到知识学习中，学生可以跟随“巴克穿越犬”一起经历游戏背景所描绘的各历史事件。</w:t>
      </w:r>
    </w:p>
    <w:p w:rsidR="00596D15" w:rsidRPr="002127DF" w:rsidRDefault="00596D15" w:rsidP="00596D15">
      <w:pPr>
        <w:ind w:firstLineChars="200" w:firstLine="600"/>
        <w:jc w:val="both"/>
        <w:rPr>
          <w:rStyle w:val="tlid-translation"/>
          <w:sz w:val="30"/>
          <w:szCs w:val="30"/>
        </w:rPr>
      </w:pPr>
      <w:r w:rsidRPr="002127DF">
        <w:rPr>
          <w:rStyle w:val="tlid-translation"/>
          <w:rFonts w:hint="eastAsia"/>
          <w:sz w:val="30"/>
          <w:szCs w:val="30"/>
        </w:rPr>
        <w:t>由美联储</w:t>
      </w:r>
      <w:r w:rsidR="006F3890" w:rsidRPr="002127DF">
        <w:rPr>
          <w:rStyle w:val="tlid-translation"/>
          <w:rFonts w:hint="eastAsia"/>
          <w:sz w:val="30"/>
          <w:szCs w:val="30"/>
        </w:rPr>
        <w:t>委员会</w:t>
      </w:r>
      <w:r w:rsidRPr="002127DF">
        <w:rPr>
          <w:rStyle w:val="tlid-translation"/>
          <w:rFonts w:hint="eastAsia"/>
          <w:sz w:val="30"/>
          <w:szCs w:val="30"/>
        </w:rPr>
        <w:t>负责管理的“货币教育计划”为身处世界各地的美国货币使用者提供有关美联储货币教育和培训的相关信息，旨在提升人们对美国货币安全性和设计特征的认识。</w:t>
      </w:r>
    </w:p>
    <w:p w:rsidR="00627EB3" w:rsidRDefault="00596D15" w:rsidP="00FC0BC5">
      <w:pPr>
        <w:ind w:firstLineChars="200" w:firstLine="600"/>
        <w:rPr>
          <w:rStyle w:val="tlid-translation"/>
          <w:sz w:val="30"/>
          <w:szCs w:val="30"/>
        </w:rPr>
      </w:pPr>
      <w:r w:rsidRPr="002127DF">
        <w:rPr>
          <w:rStyle w:val="tlid-translation"/>
          <w:rFonts w:hint="eastAsia"/>
          <w:sz w:val="30"/>
          <w:szCs w:val="30"/>
        </w:rPr>
        <w:t>网址链接：</w:t>
      </w:r>
    </w:p>
    <w:p w:rsidR="00596D15" w:rsidRPr="002127DF" w:rsidRDefault="009D05E8" w:rsidP="00627EB3">
      <w:pPr>
        <w:ind w:firstLineChars="200" w:firstLine="480"/>
        <w:rPr>
          <w:b/>
          <w:color w:val="000000" w:themeColor="text1"/>
          <w:sz w:val="30"/>
          <w:szCs w:val="30"/>
        </w:rPr>
      </w:pPr>
      <w:hyperlink r:id="rId8" w:history="1">
        <w:r w:rsidR="00596D15" w:rsidRPr="002127DF">
          <w:rPr>
            <w:rStyle w:val="a8"/>
            <w:rFonts w:hint="eastAsia"/>
            <w:sz w:val="30"/>
            <w:szCs w:val="30"/>
          </w:rPr>
          <w:t>https://www.federalreserve.gov/newsevents/pressreleases/other20190116a.htm</w:t>
        </w:r>
      </w:hyperlink>
    </w:p>
    <w:p w:rsidR="00596D15" w:rsidRPr="002127DF" w:rsidRDefault="00596D15" w:rsidP="00596D15">
      <w:pPr>
        <w:rPr>
          <w:kern w:val="2"/>
          <w:sz w:val="30"/>
          <w:szCs w:val="30"/>
        </w:rPr>
      </w:pPr>
    </w:p>
    <w:p w:rsidR="00596D15" w:rsidRPr="002127DF" w:rsidRDefault="006D0DC4" w:rsidP="00271F14">
      <w:pPr>
        <w:spacing w:beforeLines="100" w:afterLines="100" w:line="360" w:lineRule="auto"/>
        <w:outlineLvl w:val="1"/>
        <w:rPr>
          <w:rStyle w:val="a8"/>
          <w:rFonts w:eastAsiaTheme="majorEastAsia" w:cs="Arial"/>
          <w:b/>
          <w:color w:val="auto"/>
          <w:sz w:val="30"/>
          <w:szCs w:val="30"/>
          <w:u w:val="none"/>
        </w:rPr>
      </w:pPr>
      <w:r w:rsidRPr="002127DF">
        <w:rPr>
          <w:rStyle w:val="a8"/>
          <w:rFonts w:eastAsiaTheme="majorEastAsia" w:cs="Arial" w:hint="eastAsia"/>
          <w:b/>
          <w:color w:val="auto"/>
          <w:sz w:val="30"/>
          <w:szCs w:val="30"/>
          <w:u w:val="none"/>
        </w:rPr>
        <w:t>IFEC</w:t>
      </w:r>
      <w:r w:rsidR="00596D15" w:rsidRPr="002127DF">
        <w:rPr>
          <w:rStyle w:val="a8"/>
          <w:rFonts w:eastAsiaTheme="majorEastAsia" w:hAnsiTheme="majorEastAsia" w:cs="Arial" w:hint="eastAsia"/>
          <w:b/>
          <w:color w:val="auto"/>
          <w:sz w:val="30"/>
          <w:szCs w:val="30"/>
          <w:u w:val="none"/>
        </w:rPr>
        <w:t>：公布《理财能力策略</w:t>
      </w:r>
      <w:r w:rsidR="00596D15" w:rsidRPr="002127DF">
        <w:rPr>
          <w:rStyle w:val="a8"/>
          <w:rFonts w:eastAsiaTheme="majorEastAsia" w:cs="Arial" w:hint="eastAsia"/>
          <w:b/>
          <w:color w:val="auto"/>
          <w:sz w:val="30"/>
          <w:szCs w:val="30"/>
          <w:u w:val="none"/>
        </w:rPr>
        <w:t>2019</w:t>
      </w:r>
      <w:r w:rsidR="00596D15" w:rsidRPr="002127DF">
        <w:rPr>
          <w:rStyle w:val="a8"/>
          <w:rFonts w:eastAsiaTheme="majorEastAsia" w:hAnsiTheme="majorEastAsia" w:cs="Arial" w:hint="eastAsia"/>
          <w:b/>
          <w:color w:val="auto"/>
          <w:sz w:val="30"/>
          <w:szCs w:val="30"/>
          <w:u w:val="none"/>
        </w:rPr>
        <w:t>》</w:t>
      </w:r>
    </w:p>
    <w:p w:rsidR="00596D15" w:rsidRPr="002127DF" w:rsidRDefault="00596D15" w:rsidP="00596D15">
      <w:pPr>
        <w:spacing w:line="360" w:lineRule="auto"/>
        <w:ind w:firstLineChars="200" w:firstLine="600"/>
        <w:rPr>
          <w:rStyle w:val="a8"/>
          <w:rFonts w:cs="Arial"/>
          <w:color w:val="000000" w:themeColor="text1"/>
          <w:sz w:val="30"/>
          <w:szCs w:val="30"/>
          <w:u w:val="none"/>
        </w:rPr>
      </w:pPr>
      <w:r w:rsidRPr="002127DF">
        <w:rPr>
          <w:rStyle w:val="a8"/>
          <w:rFonts w:cs="Arial" w:hint="eastAsia"/>
          <w:color w:val="000000" w:themeColor="text1"/>
          <w:sz w:val="30"/>
          <w:szCs w:val="30"/>
          <w:u w:val="none"/>
        </w:rPr>
        <w:t>2019</w:t>
      </w:r>
      <w:r w:rsidRPr="002127DF">
        <w:rPr>
          <w:rStyle w:val="a8"/>
          <w:rFonts w:cs="Arial" w:hint="eastAsia"/>
          <w:color w:val="000000" w:themeColor="text1"/>
          <w:sz w:val="30"/>
          <w:szCs w:val="30"/>
          <w:u w:val="none"/>
        </w:rPr>
        <w:t>年</w:t>
      </w:r>
      <w:r w:rsidRPr="002127DF">
        <w:rPr>
          <w:rStyle w:val="a8"/>
          <w:rFonts w:cs="Arial" w:hint="eastAsia"/>
          <w:color w:val="000000" w:themeColor="text1"/>
          <w:sz w:val="30"/>
          <w:szCs w:val="30"/>
          <w:u w:val="none"/>
        </w:rPr>
        <w:t>1</w:t>
      </w:r>
      <w:r w:rsidRPr="002127DF">
        <w:rPr>
          <w:rStyle w:val="a8"/>
          <w:rFonts w:cs="Arial" w:hint="eastAsia"/>
          <w:color w:val="000000" w:themeColor="text1"/>
          <w:sz w:val="30"/>
          <w:szCs w:val="30"/>
          <w:u w:val="none"/>
        </w:rPr>
        <w:t>月</w:t>
      </w:r>
      <w:r w:rsidRPr="002127DF">
        <w:rPr>
          <w:rStyle w:val="a8"/>
          <w:rFonts w:cs="Arial" w:hint="eastAsia"/>
          <w:color w:val="000000" w:themeColor="text1"/>
          <w:sz w:val="30"/>
          <w:szCs w:val="30"/>
          <w:u w:val="none"/>
        </w:rPr>
        <w:t>17</w:t>
      </w:r>
      <w:r w:rsidRPr="002127DF">
        <w:rPr>
          <w:rStyle w:val="a8"/>
          <w:rFonts w:cs="Arial" w:hint="eastAsia"/>
          <w:color w:val="000000" w:themeColor="text1"/>
          <w:sz w:val="30"/>
          <w:szCs w:val="30"/>
          <w:u w:val="none"/>
        </w:rPr>
        <w:t>日，香港投资者及理财教育委员会（</w:t>
      </w:r>
      <w:r w:rsidRPr="002127DF">
        <w:rPr>
          <w:rStyle w:val="a8"/>
          <w:rFonts w:cs="Arial" w:hint="eastAsia"/>
          <w:color w:val="000000" w:themeColor="text1"/>
          <w:sz w:val="30"/>
          <w:szCs w:val="30"/>
          <w:u w:val="none"/>
        </w:rPr>
        <w:t>IFEC</w:t>
      </w:r>
      <w:r w:rsidRPr="002127DF">
        <w:rPr>
          <w:rStyle w:val="a8"/>
          <w:rFonts w:cs="Arial" w:hint="eastAsia"/>
          <w:color w:val="000000" w:themeColor="text1"/>
          <w:sz w:val="30"/>
          <w:szCs w:val="30"/>
          <w:u w:val="none"/>
        </w:rPr>
        <w:t>）公布了《理财能力策略</w:t>
      </w:r>
      <w:r w:rsidRPr="002127DF">
        <w:rPr>
          <w:rStyle w:val="a8"/>
          <w:rFonts w:cs="Arial" w:hint="eastAsia"/>
          <w:color w:val="000000" w:themeColor="text1"/>
          <w:sz w:val="30"/>
          <w:szCs w:val="30"/>
          <w:u w:val="none"/>
        </w:rPr>
        <w:t>2019</w:t>
      </w:r>
      <w:r w:rsidRPr="002127DF">
        <w:rPr>
          <w:rStyle w:val="a8"/>
          <w:rFonts w:cs="Arial" w:hint="eastAsia"/>
          <w:color w:val="000000" w:themeColor="text1"/>
          <w:sz w:val="30"/>
          <w:szCs w:val="30"/>
          <w:u w:val="none"/>
        </w:rPr>
        <w:t>》，旨在加强香港市民的理财意识，</w:t>
      </w:r>
      <w:r w:rsidRPr="002127DF">
        <w:rPr>
          <w:rStyle w:val="a8"/>
          <w:rFonts w:cs="Arial" w:hint="eastAsia"/>
          <w:color w:val="000000" w:themeColor="text1"/>
          <w:sz w:val="30"/>
          <w:szCs w:val="30"/>
          <w:u w:val="none"/>
        </w:rPr>
        <w:lastRenderedPageBreak/>
        <w:t>同时，推广优质理财教育，提倡并促进各方合作，提升市民理财知识水平并改善他们的财务状况。</w:t>
      </w:r>
    </w:p>
    <w:p w:rsidR="00596D15" w:rsidRPr="002127DF" w:rsidRDefault="00596D15" w:rsidP="00596D15">
      <w:pPr>
        <w:spacing w:line="360" w:lineRule="auto"/>
        <w:ind w:firstLineChars="200" w:firstLine="600"/>
        <w:rPr>
          <w:rStyle w:val="a8"/>
          <w:rFonts w:cs="Arial"/>
          <w:color w:val="000000" w:themeColor="text1"/>
          <w:sz w:val="30"/>
          <w:szCs w:val="30"/>
          <w:u w:val="none"/>
        </w:rPr>
      </w:pPr>
      <w:r w:rsidRPr="002127DF">
        <w:rPr>
          <w:rStyle w:val="a8"/>
          <w:rFonts w:cs="Arial" w:hint="eastAsia"/>
          <w:color w:val="000000" w:themeColor="text1"/>
          <w:sz w:val="30"/>
          <w:szCs w:val="30"/>
          <w:u w:val="none"/>
        </w:rPr>
        <w:t>香港财政司司长陈茂波先生对此表示，随着科技带动金融创新，现今的金融市场日新月异而且更趋复杂。同时，寿命延长等社会变化也促使其在个人及社区财政规划上，出现新的考虑和需要。简而言之，面对急速的社</w:t>
      </w:r>
      <w:r w:rsidR="006F3890" w:rsidRPr="002127DF">
        <w:rPr>
          <w:rStyle w:val="a8"/>
          <w:rFonts w:cs="Arial" w:hint="eastAsia"/>
          <w:color w:val="000000" w:themeColor="text1"/>
          <w:sz w:val="30"/>
          <w:szCs w:val="30"/>
          <w:u w:val="none"/>
        </w:rPr>
        <w:t>会经济变化，人们必须充分掌握相关知识，从而做出妥善的财务决定。</w:t>
      </w:r>
    </w:p>
    <w:p w:rsidR="00596D15" w:rsidRPr="002127DF" w:rsidRDefault="00596D15" w:rsidP="00596D15">
      <w:pPr>
        <w:spacing w:line="360" w:lineRule="auto"/>
        <w:ind w:firstLineChars="200" w:firstLine="600"/>
        <w:rPr>
          <w:rStyle w:val="a8"/>
          <w:rFonts w:cs="Arial"/>
          <w:color w:val="000000" w:themeColor="text1"/>
          <w:sz w:val="30"/>
          <w:szCs w:val="30"/>
          <w:u w:val="none"/>
        </w:rPr>
      </w:pPr>
      <w:r w:rsidRPr="002127DF">
        <w:rPr>
          <w:rStyle w:val="a8"/>
          <w:rFonts w:cs="Arial" w:hint="eastAsia"/>
          <w:color w:val="000000" w:themeColor="text1"/>
          <w:sz w:val="30"/>
          <w:szCs w:val="30"/>
          <w:u w:val="none"/>
        </w:rPr>
        <w:t>投资者及理财教育委员会主席</w:t>
      </w:r>
      <w:bookmarkStart w:id="3" w:name="OLE_LINK3"/>
      <w:bookmarkStart w:id="4" w:name="OLE_LINK4"/>
      <w:bookmarkStart w:id="5" w:name="OLE_LINK9"/>
      <w:bookmarkStart w:id="6" w:name="OLE_LINK10"/>
      <w:bookmarkStart w:id="7" w:name="OLE_LINK11"/>
      <w:r w:rsidRPr="002127DF">
        <w:rPr>
          <w:rStyle w:val="a8"/>
          <w:rFonts w:cs="Arial" w:hint="eastAsia"/>
          <w:color w:val="000000" w:themeColor="text1"/>
          <w:sz w:val="30"/>
          <w:szCs w:val="30"/>
          <w:u w:val="none"/>
        </w:rPr>
        <w:t>黄嘉纯</w:t>
      </w:r>
      <w:bookmarkEnd w:id="3"/>
      <w:bookmarkEnd w:id="4"/>
      <w:bookmarkEnd w:id="5"/>
      <w:bookmarkEnd w:id="6"/>
      <w:bookmarkEnd w:id="7"/>
      <w:r w:rsidRPr="002127DF">
        <w:rPr>
          <w:rStyle w:val="a8"/>
          <w:rFonts w:cs="Arial" w:hint="eastAsia"/>
          <w:color w:val="000000" w:themeColor="text1"/>
          <w:sz w:val="30"/>
          <w:szCs w:val="30"/>
          <w:u w:val="none"/>
        </w:rPr>
        <w:t>先生认为，《理财能力策略</w:t>
      </w:r>
      <w:r w:rsidR="006F3890" w:rsidRPr="002127DF">
        <w:rPr>
          <w:rStyle w:val="a8"/>
          <w:rFonts w:cs="Arial" w:hint="eastAsia"/>
          <w:color w:val="000000" w:themeColor="text1"/>
          <w:sz w:val="30"/>
          <w:szCs w:val="30"/>
          <w:u w:val="none"/>
        </w:rPr>
        <w:t>》制定了香港理财教育工作的蓝图，并指出重要的社会经济议题，可以通</w:t>
      </w:r>
      <w:r w:rsidRPr="002127DF">
        <w:rPr>
          <w:rStyle w:val="a8"/>
          <w:rFonts w:cs="Arial" w:hint="eastAsia"/>
          <w:color w:val="000000" w:themeColor="text1"/>
          <w:sz w:val="30"/>
          <w:szCs w:val="30"/>
          <w:u w:val="none"/>
        </w:rPr>
        <w:t>过向投资者及不同组别的人士提供切合所需的周全支援，解决所面临的相关挑战。</w:t>
      </w:r>
    </w:p>
    <w:p w:rsidR="00627EB3" w:rsidRDefault="00596D15" w:rsidP="00FC0BC5">
      <w:pPr>
        <w:ind w:firstLineChars="200" w:firstLine="600"/>
        <w:rPr>
          <w:rStyle w:val="a8"/>
          <w:rFonts w:cs="Arial"/>
          <w:color w:val="000000" w:themeColor="text1"/>
          <w:sz w:val="30"/>
          <w:szCs w:val="30"/>
          <w:u w:val="none"/>
        </w:rPr>
      </w:pPr>
      <w:r w:rsidRPr="002127DF">
        <w:rPr>
          <w:rStyle w:val="a8"/>
          <w:rFonts w:cs="Arial" w:hint="eastAsia"/>
          <w:color w:val="000000" w:themeColor="text1"/>
          <w:sz w:val="30"/>
          <w:szCs w:val="30"/>
          <w:u w:val="none"/>
        </w:rPr>
        <w:t>网页链接</w:t>
      </w:r>
      <w:r w:rsidR="00FC0BC5">
        <w:rPr>
          <w:rStyle w:val="a8"/>
          <w:rFonts w:cs="Arial" w:hint="eastAsia"/>
          <w:color w:val="000000" w:themeColor="text1"/>
          <w:sz w:val="30"/>
          <w:szCs w:val="30"/>
          <w:u w:val="none"/>
        </w:rPr>
        <w:t>：</w:t>
      </w:r>
    </w:p>
    <w:p w:rsidR="00596D15" w:rsidRPr="002127DF" w:rsidRDefault="009D05E8" w:rsidP="00627EB3">
      <w:pPr>
        <w:ind w:firstLineChars="200" w:firstLine="480"/>
        <w:rPr>
          <w:sz w:val="30"/>
          <w:szCs w:val="30"/>
        </w:rPr>
      </w:pPr>
      <w:hyperlink r:id="rId9" w:history="1">
        <w:r w:rsidR="00596D15" w:rsidRPr="002127DF">
          <w:rPr>
            <w:rStyle w:val="a8"/>
            <w:rFonts w:cs="Arial" w:hint="eastAsia"/>
            <w:sz w:val="30"/>
            <w:szCs w:val="30"/>
          </w:rPr>
          <w:t>https://www.ifec.org.hk/sc/press-release/pr-20190117.html</w:t>
        </w:r>
      </w:hyperlink>
    </w:p>
    <w:p w:rsidR="00596D15" w:rsidRPr="002127DF" w:rsidRDefault="00596D15" w:rsidP="00596D15">
      <w:pPr>
        <w:spacing w:line="360" w:lineRule="auto"/>
        <w:rPr>
          <w:rFonts w:eastAsia="黑体"/>
          <w:color w:val="1F3864" w:themeColor="accent1" w:themeShade="80"/>
          <w:sz w:val="30"/>
          <w:szCs w:val="30"/>
        </w:rPr>
      </w:pPr>
    </w:p>
    <w:p w:rsidR="00596D15" w:rsidRPr="002127DF" w:rsidRDefault="006D0DC4" w:rsidP="00271F14">
      <w:pPr>
        <w:spacing w:beforeLines="100" w:afterLines="100" w:line="360" w:lineRule="auto"/>
        <w:outlineLvl w:val="1"/>
        <w:rPr>
          <w:rStyle w:val="a8"/>
          <w:rFonts w:eastAsiaTheme="majorEastAsia" w:cs="Arial"/>
          <w:b/>
          <w:color w:val="auto"/>
          <w:sz w:val="30"/>
          <w:szCs w:val="30"/>
          <w:u w:val="none"/>
        </w:rPr>
      </w:pPr>
      <w:r w:rsidRPr="002127DF">
        <w:rPr>
          <w:rStyle w:val="a8"/>
          <w:rFonts w:eastAsiaTheme="majorEastAsia" w:cs="Arial" w:hint="eastAsia"/>
          <w:b/>
          <w:color w:val="auto"/>
          <w:sz w:val="30"/>
          <w:szCs w:val="30"/>
          <w:u w:val="none"/>
        </w:rPr>
        <w:t>IFEC</w:t>
      </w:r>
      <w:r w:rsidR="00596D15" w:rsidRPr="006C59DD">
        <w:rPr>
          <w:rStyle w:val="a8"/>
          <w:rFonts w:eastAsiaTheme="majorEastAsia" w:cs="Arial" w:hint="eastAsia"/>
          <w:b/>
          <w:color w:val="auto"/>
          <w:sz w:val="30"/>
          <w:szCs w:val="30"/>
          <w:u w:val="none"/>
        </w:rPr>
        <w:t>：调查显示</w:t>
      </w:r>
      <w:r w:rsidR="00596D15" w:rsidRPr="002127DF">
        <w:rPr>
          <w:rStyle w:val="a8"/>
          <w:rFonts w:eastAsiaTheme="majorEastAsia" w:cs="Arial" w:hint="eastAsia"/>
          <w:b/>
          <w:color w:val="auto"/>
          <w:sz w:val="30"/>
          <w:szCs w:val="30"/>
          <w:u w:val="none"/>
        </w:rPr>
        <w:t>——</w:t>
      </w:r>
      <w:r w:rsidR="00596D15" w:rsidRPr="006C59DD">
        <w:rPr>
          <w:rStyle w:val="a8"/>
          <w:rFonts w:eastAsiaTheme="majorEastAsia" w:cs="Arial" w:hint="eastAsia"/>
          <w:b/>
          <w:color w:val="auto"/>
          <w:sz w:val="30"/>
          <w:szCs w:val="30"/>
          <w:u w:val="none"/>
        </w:rPr>
        <w:t>逾半香港成年人理财感后悔</w:t>
      </w:r>
    </w:p>
    <w:p w:rsidR="00596D15" w:rsidRPr="002127DF" w:rsidRDefault="00596D15" w:rsidP="00596D15">
      <w:pPr>
        <w:spacing w:line="360" w:lineRule="auto"/>
        <w:ind w:firstLineChars="200" w:firstLine="600"/>
        <w:jc w:val="both"/>
        <w:rPr>
          <w:rStyle w:val="a8"/>
          <w:rFonts w:cs="Arial"/>
          <w:color w:val="000000" w:themeColor="text1"/>
          <w:sz w:val="30"/>
          <w:szCs w:val="30"/>
          <w:u w:val="none"/>
        </w:rPr>
      </w:pPr>
      <w:r w:rsidRPr="002127DF">
        <w:rPr>
          <w:rStyle w:val="a8"/>
          <w:rFonts w:cs="Arial" w:hint="eastAsia"/>
          <w:color w:val="000000" w:themeColor="text1"/>
          <w:sz w:val="30"/>
          <w:szCs w:val="30"/>
          <w:u w:val="none"/>
        </w:rPr>
        <w:t>2019</w:t>
      </w:r>
      <w:r w:rsidRPr="002127DF">
        <w:rPr>
          <w:rStyle w:val="a8"/>
          <w:rFonts w:cs="Arial" w:hint="eastAsia"/>
          <w:color w:val="000000" w:themeColor="text1"/>
          <w:sz w:val="30"/>
          <w:szCs w:val="30"/>
          <w:u w:val="none"/>
        </w:rPr>
        <w:t>年</w:t>
      </w:r>
      <w:r w:rsidRPr="002127DF">
        <w:rPr>
          <w:rStyle w:val="a8"/>
          <w:rFonts w:cs="Arial" w:hint="eastAsia"/>
          <w:color w:val="000000" w:themeColor="text1"/>
          <w:sz w:val="30"/>
          <w:szCs w:val="30"/>
          <w:u w:val="none"/>
        </w:rPr>
        <w:t>2</w:t>
      </w:r>
      <w:r w:rsidRPr="002127DF">
        <w:rPr>
          <w:rStyle w:val="a8"/>
          <w:rFonts w:cs="Arial" w:hint="eastAsia"/>
          <w:color w:val="000000" w:themeColor="text1"/>
          <w:sz w:val="30"/>
          <w:szCs w:val="30"/>
          <w:u w:val="none"/>
        </w:rPr>
        <w:t>月</w:t>
      </w:r>
      <w:r w:rsidRPr="002127DF">
        <w:rPr>
          <w:rStyle w:val="a8"/>
          <w:rFonts w:cs="Arial" w:hint="eastAsia"/>
          <w:color w:val="000000" w:themeColor="text1"/>
          <w:sz w:val="30"/>
          <w:szCs w:val="30"/>
          <w:u w:val="none"/>
        </w:rPr>
        <w:t>19</w:t>
      </w:r>
      <w:r w:rsidRPr="002127DF">
        <w:rPr>
          <w:rStyle w:val="a8"/>
          <w:rFonts w:cs="Arial" w:hint="eastAsia"/>
          <w:color w:val="000000" w:themeColor="text1"/>
          <w:sz w:val="30"/>
          <w:szCs w:val="30"/>
          <w:u w:val="none"/>
        </w:rPr>
        <w:t>日，</w:t>
      </w:r>
      <w:r w:rsidR="006D0DC4" w:rsidRPr="002127DF">
        <w:rPr>
          <w:rStyle w:val="a8"/>
          <w:rFonts w:cs="Arial" w:hint="eastAsia"/>
          <w:color w:val="000000" w:themeColor="text1"/>
          <w:sz w:val="30"/>
          <w:szCs w:val="30"/>
          <w:u w:val="none"/>
        </w:rPr>
        <w:t>IFEC</w:t>
      </w:r>
      <w:r w:rsidRPr="002127DF">
        <w:rPr>
          <w:rStyle w:val="a8"/>
          <w:rFonts w:cs="Arial" w:hint="eastAsia"/>
          <w:color w:val="000000" w:themeColor="text1"/>
          <w:sz w:val="30"/>
          <w:szCs w:val="30"/>
          <w:u w:val="none"/>
        </w:rPr>
        <w:t>调查发现，超过半数的香港成年人在理财方面存在使其后悔的情况。此次调查于</w:t>
      </w:r>
      <w:r w:rsidRPr="002127DF">
        <w:rPr>
          <w:rStyle w:val="a8"/>
          <w:rFonts w:cs="Arial" w:hint="eastAsia"/>
          <w:color w:val="000000" w:themeColor="text1"/>
          <w:sz w:val="30"/>
          <w:szCs w:val="30"/>
          <w:u w:val="none"/>
        </w:rPr>
        <w:t>2018</w:t>
      </w:r>
      <w:r w:rsidRPr="002127DF">
        <w:rPr>
          <w:rStyle w:val="a8"/>
          <w:rFonts w:cs="Arial" w:hint="eastAsia"/>
          <w:color w:val="000000" w:themeColor="text1"/>
          <w:sz w:val="30"/>
          <w:szCs w:val="30"/>
          <w:u w:val="none"/>
        </w:rPr>
        <w:t>年</w:t>
      </w:r>
      <w:r w:rsidRPr="002127DF">
        <w:rPr>
          <w:rStyle w:val="a8"/>
          <w:rFonts w:cs="Arial" w:hint="eastAsia"/>
          <w:color w:val="000000" w:themeColor="text1"/>
          <w:sz w:val="30"/>
          <w:szCs w:val="30"/>
          <w:u w:val="none"/>
        </w:rPr>
        <w:t>12</w:t>
      </w:r>
      <w:r w:rsidR="006F3890" w:rsidRPr="002127DF">
        <w:rPr>
          <w:rStyle w:val="a8"/>
          <w:rFonts w:cs="Arial" w:hint="eastAsia"/>
          <w:color w:val="000000" w:themeColor="text1"/>
          <w:sz w:val="30"/>
          <w:szCs w:val="30"/>
          <w:u w:val="none"/>
        </w:rPr>
        <w:t>月</w:t>
      </w:r>
      <w:r w:rsidRPr="002127DF">
        <w:rPr>
          <w:rStyle w:val="a8"/>
          <w:rFonts w:cs="Arial" w:hint="eastAsia"/>
          <w:color w:val="000000" w:themeColor="text1"/>
          <w:sz w:val="30"/>
          <w:szCs w:val="30"/>
          <w:u w:val="none"/>
        </w:rPr>
        <w:t>面对面访问了</w:t>
      </w:r>
      <w:r w:rsidRPr="002127DF">
        <w:rPr>
          <w:rStyle w:val="a8"/>
          <w:rFonts w:cs="Arial" w:hint="eastAsia"/>
          <w:color w:val="000000" w:themeColor="text1"/>
          <w:sz w:val="30"/>
          <w:szCs w:val="30"/>
          <w:u w:val="none"/>
        </w:rPr>
        <w:t>688</w:t>
      </w:r>
      <w:r w:rsidRPr="002127DF">
        <w:rPr>
          <w:rStyle w:val="a8"/>
          <w:rFonts w:cs="Arial" w:hint="eastAsia"/>
          <w:color w:val="000000" w:themeColor="text1"/>
          <w:sz w:val="30"/>
          <w:szCs w:val="30"/>
          <w:u w:val="none"/>
        </w:rPr>
        <w:t>名年龄</w:t>
      </w:r>
      <w:r w:rsidRPr="002127DF">
        <w:rPr>
          <w:rStyle w:val="a8"/>
          <w:rFonts w:cs="Arial" w:hint="eastAsia"/>
          <w:color w:val="000000" w:themeColor="text1"/>
          <w:sz w:val="30"/>
          <w:szCs w:val="30"/>
          <w:u w:val="none"/>
        </w:rPr>
        <w:t>18</w:t>
      </w:r>
      <w:r w:rsidRPr="002127DF">
        <w:rPr>
          <w:rStyle w:val="a8"/>
          <w:rFonts w:cs="Arial" w:hint="eastAsia"/>
          <w:color w:val="000000" w:themeColor="text1"/>
          <w:sz w:val="30"/>
          <w:szCs w:val="30"/>
          <w:u w:val="none"/>
        </w:rPr>
        <w:t>至</w:t>
      </w:r>
      <w:r w:rsidRPr="002127DF">
        <w:rPr>
          <w:rStyle w:val="a8"/>
          <w:rFonts w:cs="Arial" w:hint="eastAsia"/>
          <w:color w:val="000000" w:themeColor="text1"/>
          <w:sz w:val="30"/>
          <w:szCs w:val="30"/>
          <w:u w:val="none"/>
        </w:rPr>
        <w:t>69</w:t>
      </w:r>
      <w:r w:rsidR="006F3890" w:rsidRPr="002127DF">
        <w:rPr>
          <w:rStyle w:val="a8"/>
          <w:rFonts w:cs="Arial" w:hint="eastAsia"/>
          <w:color w:val="000000" w:themeColor="text1"/>
          <w:sz w:val="30"/>
          <w:szCs w:val="30"/>
          <w:u w:val="none"/>
        </w:rPr>
        <w:t>岁的香港成年人</w:t>
      </w:r>
      <w:r w:rsidRPr="002127DF">
        <w:rPr>
          <w:rStyle w:val="a8"/>
          <w:rFonts w:cs="Arial" w:hint="eastAsia"/>
          <w:color w:val="000000" w:themeColor="text1"/>
          <w:sz w:val="30"/>
          <w:szCs w:val="30"/>
          <w:u w:val="none"/>
        </w:rPr>
        <w:t>，受访者表示过度消费</w:t>
      </w:r>
      <w:r w:rsidRPr="002127DF">
        <w:rPr>
          <w:rStyle w:val="a8"/>
          <w:rFonts w:cs="Arial" w:hint="eastAsia"/>
          <w:color w:val="000000" w:themeColor="text1"/>
          <w:sz w:val="30"/>
          <w:szCs w:val="30"/>
          <w:u w:val="none"/>
        </w:rPr>
        <w:t>(38%)</w:t>
      </w:r>
      <w:r w:rsidRPr="002127DF">
        <w:rPr>
          <w:rStyle w:val="a8"/>
          <w:rFonts w:cs="Arial" w:hint="eastAsia"/>
          <w:color w:val="000000" w:themeColor="text1"/>
          <w:sz w:val="30"/>
          <w:szCs w:val="30"/>
          <w:u w:val="none"/>
        </w:rPr>
        <w:t>、缺乏投资</w:t>
      </w:r>
      <w:r w:rsidRPr="002127DF">
        <w:rPr>
          <w:rStyle w:val="a8"/>
          <w:rFonts w:cs="Arial" w:hint="eastAsia"/>
          <w:color w:val="000000" w:themeColor="text1"/>
          <w:sz w:val="30"/>
          <w:szCs w:val="30"/>
          <w:u w:val="none"/>
        </w:rPr>
        <w:t>(14%)</w:t>
      </w:r>
      <w:r w:rsidRPr="002127DF">
        <w:rPr>
          <w:rStyle w:val="a8"/>
          <w:rFonts w:cs="Arial" w:hint="eastAsia"/>
          <w:color w:val="000000" w:themeColor="text1"/>
          <w:sz w:val="30"/>
          <w:szCs w:val="30"/>
          <w:u w:val="none"/>
        </w:rPr>
        <w:t>及没有遵从消费预算</w:t>
      </w:r>
      <w:r w:rsidRPr="002127DF">
        <w:rPr>
          <w:rStyle w:val="a8"/>
          <w:rFonts w:cs="Arial" w:hint="eastAsia"/>
          <w:color w:val="000000" w:themeColor="text1"/>
          <w:sz w:val="30"/>
          <w:szCs w:val="30"/>
          <w:u w:val="none"/>
        </w:rPr>
        <w:t>(14%)</w:t>
      </w:r>
      <w:r w:rsidRPr="002127DF">
        <w:rPr>
          <w:rStyle w:val="a8"/>
          <w:rFonts w:cs="Arial" w:hint="eastAsia"/>
          <w:color w:val="000000" w:themeColor="text1"/>
          <w:sz w:val="30"/>
          <w:szCs w:val="30"/>
          <w:u w:val="none"/>
        </w:rPr>
        <w:t>是其</w:t>
      </w:r>
      <w:r w:rsidRPr="002127DF">
        <w:rPr>
          <w:rStyle w:val="a8"/>
          <w:rFonts w:cs="Arial" w:hint="eastAsia"/>
          <w:color w:val="000000" w:themeColor="text1"/>
          <w:sz w:val="30"/>
          <w:szCs w:val="30"/>
          <w:u w:val="none"/>
        </w:rPr>
        <w:t>2018</w:t>
      </w:r>
      <w:r w:rsidRPr="002127DF">
        <w:rPr>
          <w:rStyle w:val="a8"/>
          <w:rFonts w:cs="Arial" w:hint="eastAsia"/>
          <w:color w:val="000000" w:themeColor="text1"/>
          <w:sz w:val="30"/>
          <w:szCs w:val="30"/>
          <w:u w:val="none"/>
        </w:rPr>
        <w:t>年在理财方面最感后悔的事。</w:t>
      </w:r>
    </w:p>
    <w:p w:rsidR="00596D15" w:rsidRPr="002127DF" w:rsidRDefault="00596D15" w:rsidP="00596D15">
      <w:pPr>
        <w:spacing w:line="360" w:lineRule="auto"/>
        <w:ind w:firstLineChars="200" w:firstLine="600"/>
        <w:jc w:val="both"/>
        <w:rPr>
          <w:rStyle w:val="a8"/>
          <w:rFonts w:cs="Arial"/>
          <w:color w:val="000000" w:themeColor="text1"/>
          <w:sz w:val="30"/>
          <w:szCs w:val="30"/>
          <w:u w:val="none"/>
        </w:rPr>
      </w:pPr>
      <w:r w:rsidRPr="002127DF">
        <w:rPr>
          <w:rStyle w:val="a8"/>
          <w:rFonts w:cs="Arial" w:hint="eastAsia"/>
          <w:color w:val="000000" w:themeColor="text1"/>
          <w:sz w:val="30"/>
          <w:szCs w:val="30"/>
          <w:u w:val="none"/>
        </w:rPr>
        <w:lastRenderedPageBreak/>
        <w:t>调查显示，虽然有</w:t>
      </w:r>
      <w:r w:rsidRPr="002127DF">
        <w:rPr>
          <w:rStyle w:val="a8"/>
          <w:rFonts w:cs="Arial" w:hint="eastAsia"/>
          <w:color w:val="000000" w:themeColor="text1"/>
          <w:sz w:val="30"/>
          <w:szCs w:val="30"/>
          <w:u w:val="none"/>
        </w:rPr>
        <w:t>53%</w:t>
      </w:r>
      <w:r w:rsidRPr="002127DF">
        <w:rPr>
          <w:rStyle w:val="a8"/>
          <w:rFonts w:cs="Arial" w:hint="eastAsia"/>
          <w:color w:val="000000" w:themeColor="text1"/>
          <w:sz w:val="30"/>
          <w:szCs w:val="30"/>
          <w:u w:val="none"/>
        </w:rPr>
        <w:t>受访者订立了财务目标，但超过</w:t>
      </w:r>
      <w:proofErr w:type="gramStart"/>
      <w:r w:rsidRPr="002127DF">
        <w:rPr>
          <w:rStyle w:val="a8"/>
          <w:rFonts w:cs="Arial" w:hint="eastAsia"/>
          <w:color w:val="000000" w:themeColor="text1"/>
          <w:sz w:val="30"/>
          <w:szCs w:val="30"/>
          <w:u w:val="none"/>
        </w:rPr>
        <w:t>半数</w:t>
      </w:r>
      <w:r w:rsidRPr="002127DF">
        <w:rPr>
          <w:rStyle w:val="a8"/>
          <w:rFonts w:cs="Arial" w:hint="eastAsia"/>
          <w:color w:val="000000" w:themeColor="text1"/>
          <w:sz w:val="30"/>
          <w:szCs w:val="30"/>
          <w:u w:val="none"/>
        </w:rPr>
        <w:t>(</w:t>
      </w:r>
      <w:proofErr w:type="gramEnd"/>
      <w:r w:rsidRPr="002127DF">
        <w:rPr>
          <w:rStyle w:val="a8"/>
          <w:rFonts w:cs="Arial" w:hint="eastAsia"/>
          <w:color w:val="000000" w:themeColor="text1"/>
          <w:sz w:val="30"/>
          <w:szCs w:val="30"/>
          <w:u w:val="none"/>
        </w:rPr>
        <w:t>56%)</w:t>
      </w:r>
      <w:r w:rsidRPr="002127DF">
        <w:rPr>
          <w:rStyle w:val="a8"/>
          <w:rFonts w:cs="Arial" w:hint="eastAsia"/>
          <w:color w:val="000000" w:themeColor="text1"/>
          <w:sz w:val="30"/>
          <w:szCs w:val="30"/>
          <w:u w:val="none"/>
        </w:rPr>
        <w:t>的受访者表示</w:t>
      </w:r>
      <w:r w:rsidR="006F3890" w:rsidRPr="002127DF">
        <w:rPr>
          <w:rStyle w:val="a8"/>
          <w:rFonts w:cs="Arial" w:hint="eastAsia"/>
          <w:color w:val="000000" w:themeColor="text1"/>
          <w:sz w:val="30"/>
          <w:szCs w:val="30"/>
          <w:u w:val="none"/>
        </w:rPr>
        <w:t>，</w:t>
      </w:r>
      <w:r w:rsidRPr="002127DF">
        <w:rPr>
          <w:rStyle w:val="a8"/>
          <w:rFonts w:cs="Arial" w:hint="eastAsia"/>
          <w:color w:val="000000" w:themeColor="text1"/>
          <w:sz w:val="30"/>
          <w:szCs w:val="30"/>
          <w:u w:val="none"/>
        </w:rPr>
        <w:t>由于没有足够的财务准备，无法实现或需延迟目标</w:t>
      </w:r>
      <w:r w:rsidR="006F3890" w:rsidRPr="002127DF">
        <w:rPr>
          <w:rStyle w:val="a8"/>
          <w:rFonts w:cs="Arial" w:hint="eastAsia"/>
          <w:color w:val="000000" w:themeColor="text1"/>
          <w:sz w:val="30"/>
          <w:szCs w:val="30"/>
          <w:u w:val="none"/>
        </w:rPr>
        <w:t>，包括了诸如置业、旅行及退休等。</w:t>
      </w:r>
      <w:r w:rsidRPr="002127DF">
        <w:rPr>
          <w:rStyle w:val="a8"/>
          <w:rFonts w:cs="Arial" w:hint="eastAsia"/>
          <w:color w:val="000000" w:themeColor="text1"/>
          <w:sz w:val="30"/>
          <w:szCs w:val="30"/>
          <w:u w:val="none"/>
        </w:rPr>
        <w:t>其中，收入偏低</w:t>
      </w:r>
      <w:r w:rsidRPr="002127DF">
        <w:rPr>
          <w:rStyle w:val="a8"/>
          <w:rFonts w:cs="Arial" w:hint="eastAsia"/>
          <w:color w:val="000000" w:themeColor="text1"/>
          <w:sz w:val="30"/>
          <w:szCs w:val="30"/>
          <w:u w:val="none"/>
        </w:rPr>
        <w:t>(55%)</w:t>
      </w:r>
      <w:r w:rsidRPr="002127DF">
        <w:rPr>
          <w:rStyle w:val="a8"/>
          <w:rFonts w:cs="Arial" w:hint="eastAsia"/>
          <w:color w:val="000000" w:themeColor="text1"/>
          <w:sz w:val="30"/>
          <w:szCs w:val="30"/>
          <w:u w:val="none"/>
        </w:rPr>
        <w:t>及过度消费</w:t>
      </w:r>
      <w:r w:rsidRPr="002127DF">
        <w:rPr>
          <w:rStyle w:val="a8"/>
          <w:rFonts w:cs="Arial" w:hint="eastAsia"/>
          <w:color w:val="000000" w:themeColor="text1"/>
          <w:sz w:val="30"/>
          <w:szCs w:val="30"/>
          <w:u w:val="none"/>
        </w:rPr>
        <w:t>(40%)</w:t>
      </w:r>
      <w:r w:rsidRPr="002127DF">
        <w:rPr>
          <w:rStyle w:val="a8"/>
          <w:rFonts w:cs="Arial" w:hint="eastAsia"/>
          <w:color w:val="000000" w:themeColor="text1"/>
          <w:sz w:val="30"/>
          <w:szCs w:val="30"/>
          <w:u w:val="none"/>
        </w:rPr>
        <w:t>是令其延迟实践目标的主要原因。半数以上</w:t>
      </w:r>
      <w:r w:rsidRPr="002127DF">
        <w:rPr>
          <w:rStyle w:val="a8"/>
          <w:rFonts w:cs="Arial" w:hint="eastAsia"/>
          <w:color w:val="000000" w:themeColor="text1"/>
          <w:sz w:val="30"/>
          <w:szCs w:val="30"/>
          <w:u w:val="none"/>
        </w:rPr>
        <w:t>(51%)</w:t>
      </w:r>
      <w:r w:rsidRPr="002127DF">
        <w:rPr>
          <w:rStyle w:val="a8"/>
          <w:rFonts w:cs="Arial" w:hint="eastAsia"/>
          <w:color w:val="000000" w:themeColor="text1"/>
          <w:sz w:val="30"/>
          <w:szCs w:val="30"/>
          <w:u w:val="none"/>
        </w:rPr>
        <w:t>受访者表示有财务压力，压力主要来自应付基本生活开支、供养父母及支付租金。对于</w:t>
      </w:r>
      <w:r w:rsidRPr="002127DF">
        <w:rPr>
          <w:rStyle w:val="a8"/>
          <w:rFonts w:cs="Arial" w:hint="eastAsia"/>
          <w:color w:val="000000" w:themeColor="text1"/>
          <w:sz w:val="30"/>
          <w:szCs w:val="30"/>
          <w:u w:val="none"/>
        </w:rPr>
        <w:t>90</w:t>
      </w:r>
      <w:r w:rsidRPr="002127DF">
        <w:rPr>
          <w:rStyle w:val="a8"/>
          <w:rFonts w:cs="Arial" w:hint="eastAsia"/>
          <w:color w:val="000000" w:themeColor="text1"/>
          <w:sz w:val="30"/>
          <w:szCs w:val="30"/>
          <w:u w:val="none"/>
        </w:rPr>
        <w:t>后受访者而言，信用卡债务也是其压力的一大来源。</w:t>
      </w:r>
    </w:p>
    <w:p w:rsidR="00627EB3" w:rsidRDefault="00596D15" w:rsidP="00FC0BC5">
      <w:pPr>
        <w:ind w:firstLineChars="200" w:firstLine="600"/>
        <w:rPr>
          <w:rStyle w:val="a8"/>
          <w:rFonts w:cs="Arial"/>
          <w:color w:val="000000" w:themeColor="text1"/>
          <w:sz w:val="30"/>
          <w:szCs w:val="30"/>
          <w:u w:val="none"/>
        </w:rPr>
      </w:pPr>
      <w:r w:rsidRPr="002127DF">
        <w:rPr>
          <w:rStyle w:val="a8"/>
          <w:rFonts w:cs="Arial" w:hint="eastAsia"/>
          <w:color w:val="000000" w:themeColor="text1"/>
          <w:sz w:val="30"/>
          <w:szCs w:val="30"/>
          <w:u w:val="none"/>
        </w:rPr>
        <w:t>网页链接</w:t>
      </w:r>
      <w:r w:rsidR="00FC0BC5">
        <w:rPr>
          <w:rStyle w:val="a8"/>
          <w:rFonts w:cs="Arial" w:hint="eastAsia"/>
          <w:color w:val="000000" w:themeColor="text1"/>
          <w:sz w:val="30"/>
          <w:szCs w:val="30"/>
          <w:u w:val="none"/>
        </w:rPr>
        <w:t>：</w:t>
      </w:r>
    </w:p>
    <w:p w:rsidR="00596D15" w:rsidRPr="002127DF" w:rsidRDefault="009D05E8" w:rsidP="00215560">
      <w:pPr>
        <w:ind w:firstLineChars="200" w:firstLine="480"/>
        <w:rPr>
          <w:rStyle w:val="a8"/>
          <w:rFonts w:cs="Arial"/>
          <w:i/>
          <w:sz w:val="30"/>
          <w:szCs w:val="30"/>
        </w:rPr>
      </w:pPr>
      <w:hyperlink r:id="rId10" w:history="1">
        <w:r w:rsidR="00FC0BC5" w:rsidRPr="00D95242">
          <w:rPr>
            <w:rStyle w:val="a8"/>
            <w:rFonts w:cs="Arial" w:hint="eastAsia"/>
            <w:sz w:val="30"/>
            <w:szCs w:val="30"/>
          </w:rPr>
          <w:t>https://www.ifec.org.hk/sc/press-release/pr-20190219.html</w:t>
        </w:r>
      </w:hyperlink>
    </w:p>
    <w:p w:rsidR="00596D15" w:rsidRPr="002127DF" w:rsidRDefault="00596D15" w:rsidP="00596D15">
      <w:pPr>
        <w:spacing w:line="360" w:lineRule="auto"/>
        <w:rPr>
          <w:rStyle w:val="a8"/>
          <w:rFonts w:eastAsia="楷体" w:cs="Arial"/>
          <w:color w:val="000000" w:themeColor="text1"/>
          <w:sz w:val="21"/>
          <w:szCs w:val="21"/>
        </w:rPr>
      </w:pPr>
    </w:p>
    <w:p w:rsidR="00596D15" w:rsidRPr="002127DF" w:rsidRDefault="0073767A" w:rsidP="00271F14">
      <w:pPr>
        <w:spacing w:beforeLines="100" w:afterLines="100" w:line="360" w:lineRule="auto"/>
        <w:outlineLvl w:val="1"/>
        <w:rPr>
          <w:rStyle w:val="a8"/>
          <w:rFonts w:eastAsiaTheme="majorEastAsia" w:cs="Arial"/>
          <w:b/>
          <w:color w:val="auto"/>
          <w:sz w:val="30"/>
          <w:szCs w:val="30"/>
          <w:u w:val="none"/>
        </w:rPr>
      </w:pPr>
      <w:r w:rsidRPr="002127DF">
        <w:rPr>
          <w:rStyle w:val="a8"/>
          <w:rFonts w:eastAsiaTheme="majorEastAsia" w:hAnsiTheme="majorEastAsia" w:cs="Arial" w:hint="eastAsia"/>
          <w:b/>
          <w:color w:val="auto"/>
          <w:sz w:val="30"/>
          <w:szCs w:val="30"/>
          <w:u w:val="none"/>
        </w:rPr>
        <w:t>马来西亚证券交易所：在槟城举办金融投资博览会，启动零售</w:t>
      </w:r>
      <w:r w:rsidR="00596D15" w:rsidRPr="002127DF">
        <w:rPr>
          <w:rStyle w:val="a8"/>
          <w:rFonts w:eastAsiaTheme="majorEastAsia" w:hAnsiTheme="majorEastAsia" w:cs="Arial" w:hint="eastAsia"/>
          <w:b/>
          <w:color w:val="auto"/>
          <w:sz w:val="30"/>
          <w:szCs w:val="30"/>
          <w:u w:val="none"/>
        </w:rPr>
        <w:t>投资年</w:t>
      </w:r>
    </w:p>
    <w:p w:rsidR="00596D15" w:rsidRPr="002127DF" w:rsidRDefault="00596D15" w:rsidP="00596D15">
      <w:pPr>
        <w:spacing w:line="360" w:lineRule="auto"/>
        <w:ind w:firstLineChars="200" w:firstLine="600"/>
        <w:rPr>
          <w:rStyle w:val="a8"/>
          <w:rFonts w:cs="Arial"/>
          <w:color w:val="000000" w:themeColor="text1"/>
          <w:sz w:val="30"/>
          <w:szCs w:val="30"/>
          <w:u w:val="none"/>
        </w:rPr>
      </w:pPr>
      <w:r w:rsidRPr="002127DF">
        <w:rPr>
          <w:rStyle w:val="a8"/>
          <w:rFonts w:cs="Arial" w:hint="eastAsia"/>
          <w:color w:val="000000" w:themeColor="text1"/>
          <w:sz w:val="30"/>
          <w:szCs w:val="30"/>
          <w:u w:val="none"/>
        </w:rPr>
        <w:t>2019</w:t>
      </w:r>
      <w:r w:rsidRPr="002127DF">
        <w:rPr>
          <w:rStyle w:val="a8"/>
          <w:rFonts w:cs="Arial" w:hint="eastAsia"/>
          <w:color w:val="000000" w:themeColor="text1"/>
          <w:sz w:val="30"/>
          <w:szCs w:val="30"/>
          <w:u w:val="none"/>
        </w:rPr>
        <w:t>年</w:t>
      </w:r>
      <w:r w:rsidRPr="002127DF">
        <w:rPr>
          <w:rStyle w:val="a8"/>
          <w:rFonts w:cs="Arial" w:hint="eastAsia"/>
          <w:color w:val="000000" w:themeColor="text1"/>
          <w:sz w:val="30"/>
          <w:szCs w:val="30"/>
          <w:u w:val="none"/>
        </w:rPr>
        <w:t>1</w:t>
      </w:r>
      <w:r w:rsidRPr="002127DF">
        <w:rPr>
          <w:rStyle w:val="a8"/>
          <w:rFonts w:cs="Arial" w:hint="eastAsia"/>
          <w:color w:val="000000" w:themeColor="text1"/>
          <w:sz w:val="30"/>
          <w:szCs w:val="30"/>
          <w:u w:val="none"/>
        </w:rPr>
        <w:t>月</w:t>
      </w:r>
      <w:r w:rsidRPr="002127DF">
        <w:rPr>
          <w:rStyle w:val="a8"/>
          <w:rFonts w:cs="Arial" w:hint="eastAsia"/>
          <w:color w:val="000000" w:themeColor="text1"/>
          <w:sz w:val="30"/>
          <w:szCs w:val="30"/>
          <w:u w:val="none"/>
        </w:rPr>
        <w:t>5</w:t>
      </w:r>
      <w:r w:rsidR="00271F14">
        <w:rPr>
          <w:rStyle w:val="a8"/>
          <w:rFonts w:cs="Arial" w:hint="eastAsia"/>
          <w:color w:val="000000" w:themeColor="text1"/>
          <w:sz w:val="30"/>
          <w:szCs w:val="30"/>
          <w:u w:val="none"/>
        </w:rPr>
        <w:t>日，马来西亚证券交易所在槟城启动</w:t>
      </w:r>
      <w:r w:rsidRPr="002127DF">
        <w:rPr>
          <w:rStyle w:val="a8"/>
          <w:rFonts w:cs="Arial" w:hint="eastAsia"/>
          <w:color w:val="000000" w:themeColor="text1"/>
          <w:sz w:val="30"/>
          <w:szCs w:val="30"/>
          <w:u w:val="none"/>
        </w:rPr>
        <w:t>了以“投资交易所，投资于你”（</w:t>
      </w:r>
      <w:r w:rsidRPr="002127DF">
        <w:rPr>
          <w:rStyle w:val="a9"/>
          <w:rFonts w:hint="eastAsia"/>
          <w:sz w:val="30"/>
          <w:szCs w:val="30"/>
        </w:rPr>
        <w:t>Invest Bursa, Invest in You</w:t>
      </w:r>
      <w:r w:rsidRPr="002127DF">
        <w:rPr>
          <w:rStyle w:val="a8"/>
          <w:rFonts w:cs="Arial" w:hint="eastAsia"/>
          <w:color w:val="000000" w:themeColor="text1"/>
          <w:sz w:val="30"/>
          <w:szCs w:val="30"/>
          <w:u w:val="none"/>
        </w:rPr>
        <w:t>）为主题的</w:t>
      </w:r>
      <w:r w:rsidR="002A4A5A" w:rsidRPr="002127DF">
        <w:rPr>
          <w:rStyle w:val="a8"/>
          <w:rFonts w:cs="Arial" w:hint="eastAsia"/>
          <w:color w:val="000000" w:themeColor="text1"/>
          <w:sz w:val="30"/>
          <w:szCs w:val="30"/>
          <w:u w:val="none"/>
        </w:rPr>
        <w:t>零售</w:t>
      </w:r>
      <w:r w:rsidRPr="002127DF">
        <w:rPr>
          <w:rStyle w:val="a8"/>
          <w:rFonts w:cs="Arial" w:hint="eastAsia"/>
          <w:color w:val="000000" w:themeColor="text1"/>
          <w:sz w:val="30"/>
          <w:szCs w:val="30"/>
          <w:u w:val="none"/>
        </w:rPr>
        <w:t>投资年，并在槟城举办了以娱乐和文化教育为主题的中小投资者活动，旨在提升公众财经素养，宣传理性投资文化。活动提供了一系列由投资专家主持的有关货币管理和资本市场投资的教育讲座，和面向儿童的财经识字活动。</w:t>
      </w:r>
    </w:p>
    <w:p w:rsidR="00596D15" w:rsidRPr="002127DF" w:rsidRDefault="00596D15" w:rsidP="00596D15">
      <w:pPr>
        <w:spacing w:line="360" w:lineRule="auto"/>
        <w:ind w:firstLineChars="200" w:firstLine="600"/>
        <w:rPr>
          <w:rStyle w:val="a8"/>
          <w:rFonts w:cs="Arial"/>
          <w:color w:val="000000" w:themeColor="text1"/>
          <w:sz w:val="30"/>
          <w:szCs w:val="30"/>
          <w:u w:val="none"/>
        </w:rPr>
      </w:pPr>
      <w:r w:rsidRPr="002127DF">
        <w:rPr>
          <w:rStyle w:val="a8"/>
          <w:rFonts w:cs="Arial" w:hint="eastAsia"/>
          <w:color w:val="000000" w:themeColor="text1"/>
          <w:sz w:val="30"/>
          <w:szCs w:val="30"/>
          <w:u w:val="none"/>
        </w:rPr>
        <w:t>马来西亚证券交易所首席执行官</w:t>
      </w:r>
      <w:bookmarkStart w:id="8" w:name="OLE_LINK25"/>
      <w:bookmarkStart w:id="9" w:name="OLE_LINK26"/>
      <w:proofErr w:type="spellStart"/>
      <w:r w:rsidRPr="002127DF">
        <w:rPr>
          <w:rFonts w:hint="eastAsia"/>
          <w:sz w:val="30"/>
          <w:szCs w:val="30"/>
        </w:rPr>
        <w:t>Datuk</w:t>
      </w:r>
      <w:proofErr w:type="spellEnd"/>
      <w:r w:rsidRPr="002127DF">
        <w:rPr>
          <w:rFonts w:hint="eastAsia"/>
          <w:sz w:val="30"/>
          <w:szCs w:val="30"/>
        </w:rPr>
        <w:t xml:space="preserve"> Seri </w:t>
      </w:r>
      <w:proofErr w:type="spellStart"/>
      <w:r w:rsidRPr="002127DF">
        <w:rPr>
          <w:rFonts w:hint="eastAsia"/>
          <w:sz w:val="30"/>
          <w:szCs w:val="30"/>
        </w:rPr>
        <w:t>Tajuddin</w:t>
      </w:r>
      <w:proofErr w:type="spellEnd"/>
      <w:r w:rsidRPr="002127DF">
        <w:rPr>
          <w:rFonts w:hint="eastAsia"/>
          <w:sz w:val="30"/>
          <w:szCs w:val="30"/>
        </w:rPr>
        <w:t xml:space="preserve"> </w:t>
      </w:r>
      <w:proofErr w:type="spellStart"/>
      <w:r w:rsidRPr="002127DF">
        <w:rPr>
          <w:rFonts w:hint="eastAsia"/>
          <w:sz w:val="30"/>
          <w:szCs w:val="30"/>
        </w:rPr>
        <w:t>Atan</w:t>
      </w:r>
      <w:bookmarkEnd w:id="8"/>
      <w:bookmarkEnd w:id="9"/>
      <w:proofErr w:type="spellEnd"/>
      <w:r w:rsidRPr="002127DF">
        <w:rPr>
          <w:rStyle w:val="a8"/>
          <w:rFonts w:cs="Arial" w:hint="eastAsia"/>
          <w:color w:val="000000" w:themeColor="text1"/>
          <w:sz w:val="30"/>
          <w:szCs w:val="30"/>
          <w:u w:val="none"/>
        </w:rPr>
        <w:t>表示，活动的目标是通过广泛的教育和知识普及活动来吸引中小投资者进入并参与资本市场。槟城拥有丰富的文化遗产和艺术景观，</w:t>
      </w:r>
      <w:r w:rsidRPr="002127DF">
        <w:rPr>
          <w:rStyle w:val="a8"/>
          <w:rFonts w:cs="Arial" w:hint="eastAsia"/>
          <w:color w:val="000000" w:themeColor="text1"/>
          <w:sz w:val="30"/>
          <w:szCs w:val="30"/>
          <w:u w:val="none"/>
        </w:rPr>
        <w:lastRenderedPageBreak/>
        <w:t>具有典型的马来西亚特色，可以将马来西亚深厚的文化传统与明智的未来投资相结合，是举办活动的绝佳地</w:t>
      </w:r>
      <w:r w:rsidR="002A4A5A" w:rsidRPr="002127DF">
        <w:rPr>
          <w:rStyle w:val="a8"/>
          <w:rFonts w:cs="Arial" w:hint="eastAsia"/>
          <w:color w:val="000000" w:themeColor="text1"/>
          <w:sz w:val="30"/>
          <w:szCs w:val="30"/>
          <w:u w:val="none"/>
        </w:rPr>
        <w:t>点。此次活动有政府机构、投资银行和经纪人在内的十几家机构参与，</w:t>
      </w:r>
      <w:r w:rsidRPr="002127DF">
        <w:rPr>
          <w:rStyle w:val="a8"/>
          <w:rFonts w:cs="Arial" w:hint="eastAsia"/>
          <w:color w:val="000000" w:themeColor="text1"/>
          <w:sz w:val="30"/>
          <w:szCs w:val="30"/>
          <w:u w:val="none"/>
        </w:rPr>
        <w:t>为投资者提供与投资相关的咨询和服务。</w:t>
      </w:r>
    </w:p>
    <w:p w:rsidR="00627EB3" w:rsidRDefault="00596D15" w:rsidP="00FC0BC5">
      <w:pPr>
        <w:spacing w:line="360" w:lineRule="auto"/>
        <w:ind w:firstLineChars="200" w:firstLine="600"/>
        <w:rPr>
          <w:rStyle w:val="a8"/>
          <w:rFonts w:cs="Arial"/>
          <w:color w:val="000000" w:themeColor="text1"/>
          <w:sz w:val="30"/>
          <w:szCs w:val="30"/>
          <w:u w:val="none"/>
        </w:rPr>
      </w:pPr>
      <w:r w:rsidRPr="002127DF">
        <w:rPr>
          <w:rStyle w:val="a8"/>
          <w:rFonts w:cs="Arial" w:hint="eastAsia"/>
          <w:color w:val="000000" w:themeColor="text1"/>
          <w:sz w:val="30"/>
          <w:szCs w:val="30"/>
          <w:u w:val="none"/>
        </w:rPr>
        <w:t>网页链接：</w:t>
      </w:r>
    </w:p>
    <w:p w:rsidR="00596D15" w:rsidRPr="002127DF" w:rsidRDefault="009D05E8" w:rsidP="00627EB3">
      <w:pPr>
        <w:spacing w:line="360" w:lineRule="auto"/>
        <w:ind w:firstLineChars="200" w:firstLine="480"/>
        <w:rPr>
          <w:rFonts w:cs="Arial"/>
          <w:i/>
          <w:color w:val="BF8F00" w:themeColor="accent4" w:themeShade="BF"/>
          <w:sz w:val="30"/>
          <w:szCs w:val="30"/>
        </w:rPr>
      </w:pPr>
      <w:hyperlink r:id="rId11" w:history="1">
        <w:r w:rsidR="00596D15" w:rsidRPr="002127DF">
          <w:rPr>
            <w:rStyle w:val="a8"/>
            <w:rFonts w:cs="Arial" w:hint="eastAsia"/>
            <w:sz w:val="30"/>
            <w:szCs w:val="30"/>
          </w:rPr>
          <w:t>http://www.bursamalaysia.com/corporate/media-centre/media-releases/5941</w:t>
        </w:r>
      </w:hyperlink>
    </w:p>
    <w:p w:rsidR="00596D15" w:rsidRPr="002127DF" w:rsidRDefault="00596D15" w:rsidP="00596D15">
      <w:pPr>
        <w:spacing w:line="360" w:lineRule="auto"/>
        <w:rPr>
          <w:rStyle w:val="a8"/>
          <w:rFonts w:cs="Arial"/>
          <w:color w:val="000000" w:themeColor="text1"/>
          <w:sz w:val="30"/>
          <w:szCs w:val="30"/>
        </w:rPr>
      </w:pPr>
    </w:p>
    <w:p w:rsidR="00596D15" w:rsidRPr="002127DF" w:rsidRDefault="006D0DC4" w:rsidP="00271F14">
      <w:pPr>
        <w:spacing w:beforeLines="100" w:afterLines="100" w:line="360" w:lineRule="auto"/>
        <w:outlineLvl w:val="1"/>
        <w:rPr>
          <w:rStyle w:val="a8"/>
          <w:rFonts w:eastAsiaTheme="majorEastAsia" w:cs="Arial"/>
          <w:b/>
          <w:color w:val="auto"/>
          <w:sz w:val="30"/>
          <w:szCs w:val="30"/>
          <w:u w:val="none"/>
        </w:rPr>
      </w:pPr>
      <w:r w:rsidRPr="002127DF">
        <w:rPr>
          <w:rStyle w:val="a8"/>
          <w:rFonts w:eastAsiaTheme="majorEastAsia" w:hAnsiTheme="majorEastAsia" w:cs="Arial" w:hint="eastAsia"/>
          <w:b/>
          <w:color w:val="auto"/>
          <w:sz w:val="30"/>
          <w:szCs w:val="30"/>
          <w:u w:val="none"/>
        </w:rPr>
        <w:t>台交</w:t>
      </w:r>
      <w:r w:rsidR="00596D15" w:rsidRPr="002127DF">
        <w:rPr>
          <w:rStyle w:val="a8"/>
          <w:rFonts w:eastAsiaTheme="majorEastAsia" w:hAnsiTheme="majorEastAsia" w:cs="Arial" w:hint="eastAsia"/>
          <w:b/>
          <w:color w:val="auto"/>
          <w:sz w:val="30"/>
          <w:szCs w:val="30"/>
          <w:u w:val="none"/>
        </w:rPr>
        <w:t>所：</w:t>
      </w:r>
      <w:r w:rsidR="00596D15" w:rsidRPr="002127DF">
        <w:rPr>
          <w:rStyle w:val="a8"/>
          <w:rFonts w:eastAsiaTheme="majorEastAsia" w:hAnsiTheme="majorEastAsia" w:hint="eastAsia"/>
          <w:b/>
          <w:color w:val="auto"/>
          <w:sz w:val="30"/>
          <w:szCs w:val="30"/>
          <w:u w:val="none"/>
        </w:rPr>
        <w:t>推出证券知识系列漫画</w:t>
      </w:r>
      <w:r w:rsidR="00596D15" w:rsidRPr="002127DF">
        <w:rPr>
          <w:rStyle w:val="a8"/>
          <w:rFonts w:eastAsiaTheme="majorEastAsia" w:hint="eastAsia"/>
          <w:b/>
          <w:color w:val="auto"/>
          <w:sz w:val="30"/>
          <w:szCs w:val="30"/>
          <w:u w:val="none"/>
        </w:rPr>
        <w:t>“</w:t>
      </w:r>
      <w:r w:rsidR="00596D15" w:rsidRPr="002127DF">
        <w:rPr>
          <w:rStyle w:val="a8"/>
          <w:rFonts w:eastAsiaTheme="majorEastAsia" w:hAnsiTheme="majorEastAsia" w:hint="eastAsia"/>
          <w:b/>
          <w:color w:val="auto"/>
          <w:sz w:val="30"/>
          <w:szCs w:val="30"/>
          <w:u w:val="none"/>
        </w:rPr>
        <w:t>谁是我的黄金股骑士</w:t>
      </w:r>
      <w:r w:rsidR="00596D15" w:rsidRPr="002127DF">
        <w:rPr>
          <w:rStyle w:val="a8"/>
          <w:rFonts w:eastAsiaTheme="majorEastAsia" w:hint="eastAsia"/>
          <w:b/>
          <w:color w:val="auto"/>
          <w:sz w:val="30"/>
          <w:szCs w:val="30"/>
          <w:u w:val="none"/>
        </w:rPr>
        <w:t>”</w:t>
      </w:r>
      <w:r w:rsidR="00596D15" w:rsidRPr="002127DF">
        <w:rPr>
          <w:rStyle w:val="a8"/>
          <w:rFonts w:eastAsiaTheme="majorEastAsia" w:hAnsiTheme="majorEastAsia" w:hint="eastAsia"/>
          <w:b/>
          <w:color w:val="auto"/>
          <w:sz w:val="30"/>
          <w:szCs w:val="30"/>
          <w:u w:val="none"/>
        </w:rPr>
        <w:t>第三集</w:t>
      </w:r>
      <w:r w:rsidR="00596D15" w:rsidRPr="002127DF">
        <w:rPr>
          <w:rStyle w:val="a8"/>
          <w:rFonts w:eastAsiaTheme="majorEastAsia" w:hint="eastAsia"/>
          <w:b/>
          <w:color w:val="auto"/>
          <w:sz w:val="30"/>
          <w:szCs w:val="30"/>
          <w:u w:val="none"/>
        </w:rPr>
        <w:t>“</w:t>
      </w:r>
      <w:r w:rsidR="00596D15" w:rsidRPr="002127DF">
        <w:rPr>
          <w:rStyle w:val="a8"/>
          <w:rFonts w:eastAsiaTheme="majorEastAsia" w:hAnsiTheme="majorEastAsia" w:hint="eastAsia"/>
          <w:b/>
          <w:color w:val="auto"/>
          <w:sz w:val="30"/>
          <w:szCs w:val="30"/>
          <w:u w:val="none"/>
        </w:rPr>
        <w:t>洗钱防治</w:t>
      </w:r>
      <w:r w:rsidR="00596D15" w:rsidRPr="002127DF">
        <w:rPr>
          <w:rStyle w:val="a8"/>
          <w:rFonts w:eastAsiaTheme="majorEastAsia" w:hint="eastAsia"/>
          <w:b/>
          <w:color w:val="auto"/>
          <w:sz w:val="30"/>
          <w:szCs w:val="30"/>
          <w:u w:val="none"/>
        </w:rPr>
        <w:t>/</w:t>
      </w:r>
      <w:r w:rsidR="00596D15" w:rsidRPr="002127DF">
        <w:rPr>
          <w:rStyle w:val="a8"/>
          <w:rFonts w:eastAsiaTheme="majorEastAsia" w:hAnsiTheme="majorEastAsia" w:hint="eastAsia"/>
          <w:b/>
          <w:color w:val="auto"/>
          <w:sz w:val="30"/>
          <w:szCs w:val="30"/>
          <w:u w:val="none"/>
        </w:rPr>
        <w:t>逐笔交易篇</w:t>
      </w:r>
      <w:r w:rsidR="00596D15" w:rsidRPr="002127DF">
        <w:rPr>
          <w:rStyle w:val="a8"/>
          <w:rFonts w:eastAsiaTheme="majorEastAsia" w:hint="eastAsia"/>
          <w:b/>
          <w:color w:val="auto"/>
          <w:sz w:val="30"/>
          <w:szCs w:val="30"/>
          <w:u w:val="none"/>
        </w:rPr>
        <w:t>”</w:t>
      </w:r>
    </w:p>
    <w:p w:rsidR="00596D15" w:rsidRPr="002127DF" w:rsidRDefault="00596D15" w:rsidP="00596D15">
      <w:pPr>
        <w:spacing w:line="360" w:lineRule="auto"/>
        <w:ind w:firstLineChars="200" w:firstLine="600"/>
        <w:jc w:val="both"/>
        <w:rPr>
          <w:rStyle w:val="a8"/>
          <w:rFonts w:cs="Arial"/>
          <w:color w:val="000000" w:themeColor="text1"/>
          <w:sz w:val="30"/>
          <w:szCs w:val="30"/>
          <w:u w:val="none"/>
        </w:rPr>
      </w:pPr>
      <w:r w:rsidRPr="002127DF">
        <w:rPr>
          <w:rStyle w:val="a8"/>
          <w:rFonts w:cs="Arial" w:hint="eastAsia"/>
          <w:color w:val="000000" w:themeColor="text1"/>
          <w:sz w:val="30"/>
          <w:szCs w:val="30"/>
          <w:u w:val="none"/>
        </w:rPr>
        <w:t>为兼顾各类投资群体的喜好，台湾证券交易所自</w:t>
      </w:r>
      <w:r w:rsidRPr="002127DF">
        <w:rPr>
          <w:rStyle w:val="a8"/>
          <w:rFonts w:cs="Arial" w:hint="eastAsia"/>
          <w:color w:val="000000" w:themeColor="text1"/>
          <w:sz w:val="30"/>
          <w:szCs w:val="30"/>
          <w:u w:val="none"/>
        </w:rPr>
        <w:t>2008</w:t>
      </w:r>
      <w:r w:rsidRPr="002127DF">
        <w:rPr>
          <w:rStyle w:val="a8"/>
          <w:rFonts w:cs="Arial" w:hint="eastAsia"/>
          <w:color w:val="000000" w:themeColor="text1"/>
          <w:sz w:val="30"/>
          <w:szCs w:val="30"/>
          <w:u w:val="none"/>
        </w:rPr>
        <w:t>年起，发行以漫画为表现形式的证券知识刊物，近年，陆续推出了适合新手投资者学习投资知识的入门参考书。这些刊物多选取青春校园题材，运用日本漫画风格结合偶像剧的故事情节，颠覆了传统对证券投资复杂难懂的刻板印象。</w:t>
      </w:r>
    </w:p>
    <w:p w:rsidR="00596D15" w:rsidRPr="002127DF" w:rsidRDefault="00596D15" w:rsidP="00596D15">
      <w:pPr>
        <w:spacing w:line="360" w:lineRule="auto"/>
        <w:ind w:firstLineChars="200" w:firstLine="600"/>
        <w:jc w:val="both"/>
        <w:rPr>
          <w:rStyle w:val="a8"/>
          <w:rFonts w:cs="Arial"/>
          <w:color w:val="000000" w:themeColor="text1"/>
          <w:sz w:val="30"/>
          <w:szCs w:val="30"/>
          <w:u w:val="none"/>
        </w:rPr>
      </w:pPr>
      <w:r w:rsidRPr="002127DF">
        <w:rPr>
          <w:rStyle w:val="a8"/>
          <w:rFonts w:cs="Arial" w:hint="eastAsia"/>
          <w:color w:val="000000" w:themeColor="text1"/>
          <w:sz w:val="30"/>
          <w:szCs w:val="30"/>
          <w:u w:val="none"/>
        </w:rPr>
        <w:t>2019</w:t>
      </w:r>
      <w:r w:rsidRPr="002127DF">
        <w:rPr>
          <w:rStyle w:val="a8"/>
          <w:rFonts w:cs="Arial" w:hint="eastAsia"/>
          <w:color w:val="000000" w:themeColor="text1"/>
          <w:sz w:val="30"/>
          <w:szCs w:val="30"/>
          <w:u w:val="none"/>
        </w:rPr>
        <w:t>年</w:t>
      </w:r>
      <w:r w:rsidRPr="002127DF">
        <w:rPr>
          <w:rStyle w:val="a8"/>
          <w:rFonts w:cs="Arial" w:hint="eastAsia"/>
          <w:color w:val="000000" w:themeColor="text1"/>
          <w:sz w:val="30"/>
          <w:szCs w:val="30"/>
          <w:u w:val="none"/>
        </w:rPr>
        <w:t>1</w:t>
      </w:r>
      <w:r w:rsidRPr="002127DF">
        <w:rPr>
          <w:rStyle w:val="a8"/>
          <w:rFonts w:cs="Arial" w:hint="eastAsia"/>
          <w:color w:val="000000" w:themeColor="text1"/>
          <w:sz w:val="30"/>
          <w:szCs w:val="30"/>
          <w:u w:val="none"/>
        </w:rPr>
        <w:t>月</w:t>
      </w:r>
      <w:r w:rsidRPr="002127DF">
        <w:rPr>
          <w:rStyle w:val="a8"/>
          <w:rFonts w:cs="Arial" w:hint="eastAsia"/>
          <w:color w:val="000000" w:themeColor="text1"/>
          <w:sz w:val="30"/>
          <w:szCs w:val="30"/>
          <w:u w:val="none"/>
        </w:rPr>
        <w:t>23</w:t>
      </w:r>
      <w:r w:rsidRPr="002127DF">
        <w:rPr>
          <w:rStyle w:val="a8"/>
          <w:rFonts w:cs="Arial" w:hint="eastAsia"/>
          <w:color w:val="000000" w:themeColor="text1"/>
          <w:sz w:val="30"/>
          <w:szCs w:val="30"/>
          <w:u w:val="none"/>
        </w:rPr>
        <w:t>日，台湾证券交易所推出证券知识系列漫画“谁是我的黄金股骑士”第三集。继黄金股骑士系列第一集故事中介绍证券市场架构及功能，第二集漫画进一步介绍了证券市场的交易制度及基本投资策略，最新推出的第三集接续前情，介绍了投资者应注意的洗钱防治观念、定期定额投资</w:t>
      </w:r>
      <w:r w:rsidR="00271F14">
        <w:rPr>
          <w:rStyle w:val="a8"/>
          <w:rFonts w:cs="Arial" w:hint="eastAsia"/>
          <w:color w:val="000000" w:themeColor="text1"/>
          <w:sz w:val="30"/>
          <w:szCs w:val="30"/>
          <w:u w:val="none"/>
        </w:rPr>
        <w:t>，</w:t>
      </w:r>
      <w:r w:rsidRPr="002127DF">
        <w:rPr>
          <w:rStyle w:val="a8"/>
          <w:rFonts w:cs="Arial" w:hint="eastAsia"/>
          <w:color w:val="000000" w:themeColor="text1"/>
          <w:sz w:val="30"/>
          <w:szCs w:val="30"/>
          <w:u w:val="none"/>
        </w:rPr>
        <w:t>以及预定于</w:t>
      </w:r>
      <w:r w:rsidRPr="002127DF">
        <w:rPr>
          <w:rStyle w:val="a8"/>
          <w:rFonts w:cs="Arial" w:hint="eastAsia"/>
          <w:color w:val="000000" w:themeColor="text1"/>
          <w:sz w:val="30"/>
          <w:szCs w:val="30"/>
          <w:u w:val="none"/>
        </w:rPr>
        <w:t>2020</w:t>
      </w:r>
      <w:r w:rsidRPr="002127DF">
        <w:rPr>
          <w:rStyle w:val="a8"/>
          <w:rFonts w:cs="Arial" w:hint="eastAsia"/>
          <w:color w:val="000000" w:themeColor="text1"/>
          <w:sz w:val="30"/>
          <w:szCs w:val="30"/>
          <w:u w:val="none"/>
        </w:rPr>
        <w:t>年全面施行的股票逐笔交易制度。内容上，第三集延续了</w:t>
      </w:r>
      <w:r w:rsidRPr="002127DF">
        <w:rPr>
          <w:rStyle w:val="a8"/>
          <w:rFonts w:cs="Arial" w:hint="eastAsia"/>
          <w:color w:val="000000" w:themeColor="text1"/>
          <w:sz w:val="30"/>
          <w:szCs w:val="30"/>
          <w:u w:val="none"/>
        </w:rPr>
        <w:lastRenderedPageBreak/>
        <w:t>前两集的故事情节，浅显易懂，有助于读者熟悉交易所新制度，提醒投资者注意各种形态的洗钱陷阱，以维护自身合法权益。</w:t>
      </w:r>
    </w:p>
    <w:p w:rsidR="00627EB3" w:rsidRDefault="00596D15" w:rsidP="00FC0BC5">
      <w:pPr>
        <w:spacing w:line="360" w:lineRule="auto"/>
        <w:ind w:firstLineChars="200" w:firstLine="600"/>
        <w:rPr>
          <w:rStyle w:val="a8"/>
          <w:rFonts w:cs="Arial"/>
          <w:color w:val="000000" w:themeColor="text1"/>
          <w:sz w:val="30"/>
          <w:szCs w:val="30"/>
          <w:u w:val="none"/>
        </w:rPr>
      </w:pPr>
      <w:r w:rsidRPr="002127DF">
        <w:rPr>
          <w:rStyle w:val="a8"/>
          <w:rFonts w:cs="Arial" w:hint="eastAsia"/>
          <w:color w:val="000000" w:themeColor="text1"/>
          <w:sz w:val="30"/>
          <w:szCs w:val="30"/>
          <w:u w:val="none"/>
        </w:rPr>
        <w:t>网页链接：</w:t>
      </w:r>
    </w:p>
    <w:p w:rsidR="00596D15" w:rsidRPr="002127DF" w:rsidRDefault="009D05E8" w:rsidP="00627EB3">
      <w:pPr>
        <w:spacing w:line="360" w:lineRule="auto"/>
        <w:ind w:firstLineChars="200" w:firstLine="480"/>
        <w:rPr>
          <w:rStyle w:val="a8"/>
          <w:rFonts w:cs="Arial"/>
          <w:color w:val="BF8F00" w:themeColor="accent4" w:themeShade="BF"/>
          <w:sz w:val="30"/>
          <w:szCs w:val="30"/>
          <w:u w:val="none"/>
        </w:rPr>
      </w:pPr>
      <w:hyperlink r:id="rId12" w:history="1">
        <w:r w:rsidR="00596D15" w:rsidRPr="002127DF">
          <w:rPr>
            <w:rStyle w:val="a8"/>
            <w:rFonts w:cs="Arial" w:hint="eastAsia"/>
            <w:sz w:val="30"/>
            <w:szCs w:val="30"/>
          </w:rPr>
          <w:t>http://www.twse.com.tw/zh/news/newsDetail/ff80808167ee6fdf0168783e6b1d034d</w:t>
        </w:r>
      </w:hyperlink>
      <w:r w:rsidR="00596D15" w:rsidRPr="002127DF">
        <w:rPr>
          <w:rStyle w:val="a8"/>
          <w:rFonts w:eastAsia="仿宋"/>
          <w:sz w:val="30"/>
          <w:szCs w:val="30"/>
          <w:u w:val="none"/>
        </w:rPr>
        <w:br w:type="page"/>
      </w:r>
    </w:p>
    <w:p w:rsidR="00596D15" w:rsidRPr="002127DF" w:rsidRDefault="009D05E8" w:rsidP="00596D15">
      <w:pPr>
        <w:rPr>
          <w:rFonts w:eastAsia="仿宋"/>
          <w:color w:val="0563C1" w:themeColor="hyperlink"/>
          <w:sz w:val="30"/>
          <w:szCs w:val="30"/>
          <w:u w:val="single"/>
        </w:rPr>
      </w:pPr>
      <w:r>
        <w:rPr>
          <w:rFonts w:eastAsia="仿宋"/>
          <w:noProof/>
          <w:color w:val="0563C1" w:themeColor="hyperlink"/>
          <w:sz w:val="30"/>
          <w:szCs w:val="30"/>
          <w:u w:val="single"/>
        </w:rPr>
        <w:lastRenderedPageBreak/>
        <w:pict>
          <v:rect id="_x0000_s1045" style="position:absolute;margin-left:-9.35pt;margin-top:6pt;width:442.45pt;height:39.5pt;z-index:251669504" o:gfxdata="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B8Oy+W1AAAAAcBAAAPAAAAAAAAAAEAIAAAACIAAABkcnMv&#10;ZG93bnJldi54bWxQSwECFAAUAAAACACHTuJAXZhg1gcCAABbBAAADgAAAAAAAAABACAAAAAjAQAA&#10;ZHJzL2Uyb0RvYy54bWxQSwUGAAAAAAYABgBZAQAAnAUAAAAA&#10;" fillcolor="#f8fafc" strokecolor="#f8fafc">
            <v:textbox>
              <w:txbxContent>
                <w:p w:rsidR="006C59DD" w:rsidRDefault="006C59DD" w:rsidP="006C59DD">
                  <w:pPr>
                    <w:spacing w:line="360" w:lineRule="auto"/>
                    <w:rPr>
                      <w:rFonts w:ascii="Arial Narrow" w:eastAsia="宋体" w:hAnsi="Arial Narrow" w:cs="Mongolian Baiti"/>
                      <w:b/>
                      <w:color w:val="1F3864" w:themeColor="accent1" w:themeShade="80"/>
                      <w:sz w:val="28"/>
                      <w:szCs w:val="28"/>
                    </w:rPr>
                  </w:pPr>
                  <w:r>
                    <w:rPr>
                      <w:rFonts w:ascii="华文新魏" w:eastAsia="华文新魏" w:hAnsi="黑体" w:hint="eastAsia"/>
                      <w:b/>
                      <w:color w:val="1F3864" w:themeColor="accent1" w:themeShade="80"/>
                      <w:sz w:val="36"/>
                      <w:szCs w:val="36"/>
                    </w:rPr>
                    <w:t>投资者保护</w:t>
                  </w:r>
                  <w:r w:rsidRPr="006C59DD">
                    <w:rPr>
                      <w:rFonts w:ascii="Arial Narrow" w:eastAsia="华文新魏" w:hAnsi="Arial Narrow"/>
                      <w:b/>
                      <w:color w:val="1F3864" w:themeColor="accent1" w:themeShade="80"/>
                      <w:sz w:val="28"/>
                      <w:szCs w:val="28"/>
                    </w:rPr>
                    <w:t xml:space="preserve"> INVESTOR PROTECTION</w:t>
                  </w:r>
                </w:p>
                <w:p w:rsidR="006C59DD" w:rsidRDefault="006C59DD" w:rsidP="006C59DD"/>
              </w:txbxContent>
            </v:textbox>
          </v:rect>
        </w:pict>
      </w:r>
    </w:p>
    <w:p w:rsidR="00596D15" w:rsidRPr="002127DF" w:rsidRDefault="006D0DC4" w:rsidP="00271F14">
      <w:pPr>
        <w:spacing w:beforeLines="100" w:afterLines="100"/>
        <w:outlineLvl w:val="1"/>
        <w:rPr>
          <w:rFonts w:eastAsia="黑体"/>
          <w:b/>
          <w:sz w:val="30"/>
          <w:szCs w:val="30"/>
        </w:rPr>
      </w:pPr>
      <w:r w:rsidRPr="002127DF">
        <w:rPr>
          <w:rFonts w:eastAsia="黑体" w:hint="eastAsia"/>
          <w:b/>
          <w:sz w:val="30"/>
          <w:szCs w:val="30"/>
        </w:rPr>
        <w:t>IOSCO</w:t>
      </w:r>
      <w:r w:rsidR="00F56904" w:rsidRPr="002127DF">
        <w:rPr>
          <w:rFonts w:eastAsia="黑体" w:hAnsi="黑体" w:hint="eastAsia"/>
          <w:b/>
          <w:sz w:val="30"/>
          <w:szCs w:val="30"/>
        </w:rPr>
        <w:t>：发布</w:t>
      </w:r>
      <w:r w:rsidR="00596D15" w:rsidRPr="002127DF">
        <w:rPr>
          <w:rFonts w:eastAsia="黑体" w:hAnsi="黑体" w:hint="eastAsia"/>
          <w:b/>
          <w:sz w:val="30"/>
          <w:szCs w:val="30"/>
        </w:rPr>
        <w:t>发行人披露</w:t>
      </w:r>
      <w:r w:rsidR="00596D15" w:rsidRPr="002127DF">
        <w:rPr>
          <w:rFonts w:eastAsia="黑体" w:hint="eastAsia"/>
          <w:b/>
          <w:sz w:val="30"/>
          <w:szCs w:val="30"/>
        </w:rPr>
        <w:t>ESG</w:t>
      </w:r>
      <w:r w:rsidR="00596D15" w:rsidRPr="002127DF">
        <w:rPr>
          <w:rFonts w:eastAsia="黑体" w:hAnsi="黑体" w:hint="eastAsia"/>
          <w:b/>
          <w:sz w:val="30"/>
          <w:szCs w:val="30"/>
        </w:rPr>
        <w:t>事项的声明，助益投资者投资和投票决策</w:t>
      </w:r>
    </w:p>
    <w:p w:rsidR="00596D15" w:rsidRPr="002127DF" w:rsidRDefault="00596D15" w:rsidP="00596D15">
      <w:pPr>
        <w:ind w:firstLineChars="200" w:firstLine="600"/>
        <w:rPr>
          <w:rFonts w:eastAsia="仿宋_GB2312"/>
          <w:sz w:val="30"/>
          <w:szCs w:val="30"/>
        </w:rPr>
      </w:pPr>
      <w:r w:rsidRPr="002127DF">
        <w:rPr>
          <w:rFonts w:eastAsia="仿宋_GB2312" w:hint="eastAsia"/>
          <w:sz w:val="30"/>
          <w:szCs w:val="30"/>
        </w:rPr>
        <w:t>国际证监会组织（</w:t>
      </w:r>
      <w:r w:rsidRPr="002127DF">
        <w:rPr>
          <w:rFonts w:eastAsia="仿宋_GB2312" w:hint="eastAsia"/>
          <w:sz w:val="30"/>
          <w:szCs w:val="30"/>
        </w:rPr>
        <w:t>IOSCO</w:t>
      </w:r>
      <w:r w:rsidRPr="002127DF">
        <w:rPr>
          <w:rFonts w:eastAsia="仿宋_GB2312" w:hint="eastAsia"/>
          <w:sz w:val="30"/>
          <w:szCs w:val="30"/>
        </w:rPr>
        <w:t>）于</w:t>
      </w:r>
      <w:r w:rsidRPr="002127DF">
        <w:rPr>
          <w:rFonts w:eastAsia="仿宋_GB2312" w:hint="eastAsia"/>
          <w:sz w:val="30"/>
          <w:szCs w:val="30"/>
        </w:rPr>
        <w:t>2019</w:t>
      </w:r>
      <w:r w:rsidRPr="002127DF">
        <w:rPr>
          <w:rFonts w:eastAsia="仿宋_GB2312" w:hint="eastAsia"/>
          <w:sz w:val="30"/>
          <w:szCs w:val="30"/>
        </w:rPr>
        <w:t>年</w:t>
      </w:r>
      <w:r w:rsidRPr="002127DF">
        <w:rPr>
          <w:rFonts w:eastAsia="仿宋_GB2312" w:hint="eastAsia"/>
          <w:sz w:val="30"/>
          <w:szCs w:val="30"/>
        </w:rPr>
        <w:t>1</w:t>
      </w:r>
      <w:r w:rsidRPr="002127DF">
        <w:rPr>
          <w:rFonts w:eastAsia="仿宋_GB2312" w:hint="eastAsia"/>
          <w:sz w:val="30"/>
          <w:szCs w:val="30"/>
        </w:rPr>
        <w:t>月</w:t>
      </w:r>
      <w:r w:rsidRPr="002127DF">
        <w:rPr>
          <w:rFonts w:eastAsia="仿宋_GB2312" w:hint="eastAsia"/>
          <w:sz w:val="30"/>
          <w:szCs w:val="30"/>
        </w:rPr>
        <w:t>18</w:t>
      </w:r>
      <w:r w:rsidR="006E783B">
        <w:rPr>
          <w:rFonts w:eastAsia="仿宋_GB2312" w:hint="eastAsia"/>
          <w:sz w:val="30"/>
          <w:szCs w:val="30"/>
        </w:rPr>
        <w:t>日发布声明表示，发行人</w:t>
      </w:r>
      <w:r w:rsidRPr="002127DF">
        <w:rPr>
          <w:rFonts w:eastAsia="仿宋_GB2312" w:hint="eastAsia"/>
          <w:sz w:val="30"/>
          <w:szCs w:val="30"/>
        </w:rPr>
        <w:t>披露环境、社会和治理（</w:t>
      </w:r>
      <w:r w:rsidRPr="002127DF">
        <w:rPr>
          <w:rFonts w:eastAsia="仿宋_GB2312" w:hint="eastAsia"/>
          <w:sz w:val="30"/>
          <w:szCs w:val="30"/>
        </w:rPr>
        <w:t>ESG</w:t>
      </w:r>
      <w:r w:rsidRPr="002127DF">
        <w:rPr>
          <w:rFonts w:eastAsia="仿宋_GB2312" w:hint="eastAsia"/>
          <w:sz w:val="30"/>
          <w:szCs w:val="30"/>
        </w:rPr>
        <w:t>）信息对投资者</w:t>
      </w:r>
      <w:r w:rsidR="006E783B" w:rsidRPr="002127DF">
        <w:rPr>
          <w:rFonts w:eastAsia="仿宋_GB2312" w:hint="eastAsia"/>
          <w:sz w:val="30"/>
          <w:szCs w:val="30"/>
        </w:rPr>
        <w:t>做出</w:t>
      </w:r>
      <w:r w:rsidRPr="002127DF">
        <w:rPr>
          <w:rFonts w:eastAsia="仿宋_GB2312" w:hint="eastAsia"/>
          <w:sz w:val="30"/>
          <w:szCs w:val="30"/>
        </w:rPr>
        <w:t>投资决策具有重要意义。</w:t>
      </w:r>
    </w:p>
    <w:p w:rsidR="00596D15" w:rsidRPr="002127DF" w:rsidRDefault="00596D15" w:rsidP="00596D15">
      <w:pPr>
        <w:ind w:firstLineChars="200" w:firstLine="600"/>
        <w:rPr>
          <w:rFonts w:eastAsia="仿宋_GB2312"/>
          <w:sz w:val="30"/>
          <w:szCs w:val="30"/>
        </w:rPr>
      </w:pPr>
      <w:r w:rsidRPr="002127DF">
        <w:rPr>
          <w:rFonts w:eastAsia="仿宋_GB2312" w:hint="eastAsia"/>
          <w:sz w:val="30"/>
          <w:szCs w:val="30"/>
        </w:rPr>
        <w:t>证券监管具有三大重要目标，即保护投资者，确保市场公平、高效和透明，</w:t>
      </w:r>
      <w:r w:rsidR="006E783B">
        <w:rPr>
          <w:rFonts w:eastAsia="仿宋_GB2312" w:hint="eastAsia"/>
          <w:sz w:val="30"/>
          <w:szCs w:val="30"/>
        </w:rPr>
        <w:t>和</w:t>
      </w:r>
      <w:r w:rsidRPr="002127DF">
        <w:rPr>
          <w:rFonts w:eastAsia="仿宋_GB2312" w:hint="eastAsia"/>
          <w:sz w:val="30"/>
          <w:szCs w:val="30"/>
        </w:rPr>
        <w:t>降低系统性风险。根据</w:t>
      </w:r>
      <w:r w:rsidRPr="002127DF">
        <w:rPr>
          <w:rFonts w:eastAsia="仿宋_GB2312" w:hint="eastAsia"/>
          <w:sz w:val="30"/>
          <w:szCs w:val="30"/>
        </w:rPr>
        <w:t>IOSCO</w:t>
      </w:r>
      <w:r w:rsidRPr="002127DF">
        <w:rPr>
          <w:rFonts w:eastAsia="仿宋_GB2312" w:hint="eastAsia"/>
          <w:sz w:val="30"/>
          <w:szCs w:val="30"/>
        </w:rPr>
        <w:t>第</w:t>
      </w:r>
      <w:r w:rsidRPr="002127DF">
        <w:rPr>
          <w:rFonts w:eastAsia="仿宋_GB2312" w:hint="eastAsia"/>
          <w:sz w:val="30"/>
          <w:szCs w:val="30"/>
        </w:rPr>
        <w:t>16</w:t>
      </w:r>
      <w:r w:rsidRPr="002127DF">
        <w:rPr>
          <w:rFonts w:eastAsia="仿宋_GB2312" w:hint="eastAsia"/>
          <w:sz w:val="30"/>
          <w:szCs w:val="30"/>
        </w:rPr>
        <w:t>号原则相关规定，发行人应当“全面、准确、及时地披露对投资者决策具有重要意义的财务报告、风险和其他信息。”</w:t>
      </w:r>
      <w:r w:rsidRPr="002127DF">
        <w:rPr>
          <w:rFonts w:eastAsia="仿宋_GB2312" w:hint="eastAsia"/>
          <w:sz w:val="30"/>
          <w:szCs w:val="30"/>
        </w:rPr>
        <w:t>IOSCO</w:t>
      </w:r>
      <w:r w:rsidRPr="002127DF">
        <w:rPr>
          <w:rFonts w:eastAsia="仿宋_GB2312" w:hint="eastAsia"/>
          <w:sz w:val="30"/>
          <w:szCs w:val="30"/>
        </w:rPr>
        <w:t>强调，根据这一原则，虽然</w:t>
      </w:r>
      <w:r w:rsidRPr="002127DF">
        <w:rPr>
          <w:rFonts w:eastAsia="仿宋_GB2312" w:hint="eastAsia"/>
          <w:sz w:val="30"/>
          <w:szCs w:val="30"/>
        </w:rPr>
        <w:t>ESG</w:t>
      </w:r>
      <w:r w:rsidRPr="002127DF">
        <w:rPr>
          <w:rFonts w:eastAsia="仿宋_GB2312" w:hint="eastAsia"/>
          <w:sz w:val="30"/>
          <w:szCs w:val="30"/>
        </w:rPr>
        <w:t>有时被作为非财务信息，但其可能对发行人的业务运营、投资风险和回报评估以及投资者投资和投票决策产生短期和长期的重大影响。</w:t>
      </w:r>
    </w:p>
    <w:p w:rsidR="00596D15" w:rsidRPr="002127DF" w:rsidRDefault="00596D15" w:rsidP="00596D15">
      <w:pPr>
        <w:ind w:firstLineChars="200" w:firstLine="600"/>
        <w:rPr>
          <w:rFonts w:eastAsia="仿宋_GB2312"/>
          <w:sz w:val="30"/>
          <w:szCs w:val="30"/>
        </w:rPr>
      </w:pPr>
      <w:r w:rsidRPr="002127DF">
        <w:rPr>
          <w:rFonts w:eastAsia="仿宋_GB2312" w:hint="eastAsia"/>
          <w:sz w:val="30"/>
          <w:szCs w:val="30"/>
        </w:rPr>
        <w:t>近年来，</w:t>
      </w:r>
      <w:r w:rsidRPr="002127DF">
        <w:rPr>
          <w:rFonts w:eastAsia="仿宋_GB2312" w:hint="eastAsia"/>
          <w:sz w:val="30"/>
          <w:szCs w:val="30"/>
        </w:rPr>
        <w:t>ESG</w:t>
      </w:r>
      <w:r w:rsidRPr="002127DF">
        <w:rPr>
          <w:rFonts w:eastAsia="仿宋_GB2312" w:hint="eastAsia"/>
          <w:sz w:val="30"/>
          <w:szCs w:val="30"/>
        </w:rPr>
        <w:t>信息披露数量有所增加，包括与可持续发展和气候变化相关的环境因素、劳动实践和多样性在内的社会因素，以及对发行人业务产生重大影响的相关治理因素。</w:t>
      </w:r>
    </w:p>
    <w:p w:rsidR="00596D15" w:rsidRPr="002127DF" w:rsidRDefault="00596D15" w:rsidP="00596D15">
      <w:pPr>
        <w:ind w:firstLineChars="200" w:firstLine="600"/>
        <w:rPr>
          <w:rFonts w:eastAsia="仿宋_GB2312"/>
          <w:sz w:val="30"/>
          <w:szCs w:val="30"/>
        </w:rPr>
      </w:pPr>
      <w:r w:rsidRPr="002127DF">
        <w:rPr>
          <w:rFonts w:eastAsia="仿宋_GB2312" w:hint="eastAsia"/>
          <w:sz w:val="30"/>
          <w:szCs w:val="30"/>
        </w:rPr>
        <w:t>目前，越来越多的投资者开始关注</w:t>
      </w:r>
      <w:r w:rsidRPr="002127DF">
        <w:rPr>
          <w:rFonts w:eastAsia="仿宋_GB2312" w:hint="eastAsia"/>
          <w:sz w:val="30"/>
          <w:szCs w:val="30"/>
        </w:rPr>
        <w:t>ESG</w:t>
      </w:r>
      <w:r w:rsidRPr="002127DF">
        <w:rPr>
          <w:rFonts w:eastAsia="仿宋_GB2312" w:hint="eastAsia"/>
          <w:sz w:val="30"/>
          <w:szCs w:val="30"/>
        </w:rPr>
        <w:t>信息披露，部分投资者已经在其投资策略中认识到</w:t>
      </w:r>
      <w:r w:rsidRPr="002127DF">
        <w:rPr>
          <w:rFonts w:eastAsia="仿宋_GB2312" w:hint="eastAsia"/>
          <w:sz w:val="30"/>
          <w:szCs w:val="30"/>
        </w:rPr>
        <w:t>ESG</w:t>
      </w:r>
      <w:r w:rsidRPr="002127DF">
        <w:rPr>
          <w:rFonts w:eastAsia="仿宋_GB2312" w:hint="eastAsia"/>
          <w:sz w:val="30"/>
          <w:szCs w:val="30"/>
        </w:rPr>
        <w:t>事项的重要性。投资者认为，此</w:t>
      </w:r>
      <w:r w:rsidR="00F56904" w:rsidRPr="002127DF">
        <w:rPr>
          <w:rFonts w:eastAsia="仿宋_GB2312" w:hint="eastAsia"/>
          <w:sz w:val="30"/>
          <w:szCs w:val="30"/>
        </w:rPr>
        <w:t>类信息的披露对其投资和投票决策都是必要的补充。对于发行人所披露的</w:t>
      </w:r>
      <w:r w:rsidR="006B5BF4">
        <w:rPr>
          <w:rFonts w:eastAsia="仿宋_GB2312" w:hint="eastAsia"/>
          <w:sz w:val="30"/>
          <w:szCs w:val="30"/>
        </w:rPr>
        <w:t>信息，除了</w:t>
      </w:r>
      <w:r w:rsidRPr="002127DF">
        <w:rPr>
          <w:rFonts w:eastAsia="仿宋_GB2312" w:hint="eastAsia"/>
          <w:sz w:val="30"/>
          <w:szCs w:val="30"/>
        </w:rPr>
        <w:t>ESG</w:t>
      </w:r>
      <w:r w:rsidRPr="002127DF">
        <w:rPr>
          <w:rFonts w:eastAsia="仿宋_GB2312" w:hint="eastAsia"/>
          <w:sz w:val="30"/>
          <w:szCs w:val="30"/>
        </w:rPr>
        <w:t>事项如何影响发行人的长期价值创造、战略和金融风险的性质，以及发行人管理风险的方式等</w:t>
      </w:r>
      <w:r w:rsidRPr="002127DF">
        <w:rPr>
          <w:rFonts w:eastAsia="仿宋_GB2312" w:hint="eastAsia"/>
          <w:sz w:val="30"/>
          <w:szCs w:val="30"/>
        </w:rPr>
        <w:lastRenderedPageBreak/>
        <w:t>信息</w:t>
      </w:r>
      <w:r w:rsidR="006B5BF4">
        <w:rPr>
          <w:rFonts w:eastAsia="仿宋_GB2312" w:hint="eastAsia"/>
          <w:sz w:val="30"/>
          <w:szCs w:val="30"/>
        </w:rPr>
        <w:t>之外</w:t>
      </w:r>
      <w:r w:rsidRPr="002127DF">
        <w:rPr>
          <w:rFonts w:eastAsia="仿宋_GB2312" w:hint="eastAsia"/>
          <w:sz w:val="30"/>
          <w:szCs w:val="30"/>
        </w:rPr>
        <w:t>，还应报告</w:t>
      </w:r>
      <w:r w:rsidRPr="002127DF">
        <w:rPr>
          <w:rFonts w:eastAsia="仿宋_GB2312" w:hint="eastAsia"/>
          <w:sz w:val="30"/>
          <w:szCs w:val="30"/>
        </w:rPr>
        <w:t>ESG</w:t>
      </w:r>
      <w:r w:rsidRPr="002127DF">
        <w:rPr>
          <w:rFonts w:eastAsia="仿宋_GB2312" w:hint="eastAsia"/>
          <w:sz w:val="30"/>
          <w:szCs w:val="30"/>
        </w:rPr>
        <w:t>事项产生的现实或潜在影响。与此同时，一些投资者表示，希望提高</w:t>
      </w:r>
      <w:r w:rsidRPr="002127DF">
        <w:rPr>
          <w:rFonts w:eastAsia="仿宋_GB2312" w:hint="eastAsia"/>
          <w:sz w:val="30"/>
          <w:szCs w:val="30"/>
        </w:rPr>
        <w:t>ESG</w:t>
      </w:r>
      <w:r w:rsidRPr="002127DF">
        <w:rPr>
          <w:rFonts w:eastAsia="仿宋_GB2312" w:hint="eastAsia"/>
          <w:sz w:val="30"/>
          <w:szCs w:val="30"/>
        </w:rPr>
        <w:t>信息披露的可靠性和可比性，以便更准确地评估风险，从而做出更理性的投资决策。</w:t>
      </w:r>
    </w:p>
    <w:p w:rsidR="00596D15" w:rsidRPr="002127DF" w:rsidRDefault="00596D15" w:rsidP="00596D15">
      <w:pPr>
        <w:ind w:firstLineChars="200" w:firstLine="600"/>
        <w:jc w:val="both"/>
        <w:rPr>
          <w:rFonts w:eastAsia="仿宋_GB2312"/>
          <w:sz w:val="30"/>
          <w:szCs w:val="30"/>
        </w:rPr>
      </w:pPr>
      <w:r w:rsidRPr="002127DF">
        <w:rPr>
          <w:rFonts w:eastAsia="仿宋_GB2312" w:hint="eastAsia"/>
          <w:sz w:val="30"/>
          <w:szCs w:val="30"/>
        </w:rPr>
        <w:t>对投资者而言，其还需要了解发行人的业务和财务业绩所带来的重大风险，包括与</w:t>
      </w:r>
      <w:r w:rsidRPr="002127DF">
        <w:rPr>
          <w:rFonts w:eastAsia="仿宋_GB2312" w:hint="eastAsia"/>
          <w:sz w:val="30"/>
          <w:szCs w:val="30"/>
        </w:rPr>
        <w:t>ESG</w:t>
      </w:r>
      <w:r w:rsidRPr="002127DF">
        <w:rPr>
          <w:rFonts w:eastAsia="仿宋_GB2312" w:hint="eastAsia"/>
          <w:sz w:val="30"/>
          <w:szCs w:val="30"/>
        </w:rPr>
        <w:t>有关的风险。证券市场监管机构也在提示发行人考虑此类风险</w:t>
      </w:r>
      <w:r w:rsidRPr="00271F14">
        <w:rPr>
          <w:rFonts w:eastAsia="仿宋_GB2312" w:hint="eastAsia"/>
          <w:sz w:val="30"/>
          <w:szCs w:val="30"/>
        </w:rPr>
        <w:t>，并向投资者披露重要的</w:t>
      </w:r>
      <w:r w:rsidRPr="00271F14">
        <w:rPr>
          <w:rFonts w:eastAsia="仿宋_GB2312" w:hint="eastAsia"/>
          <w:sz w:val="30"/>
          <w:szCs w:val="30"/>
        </w:rPr>
        <w:t>ESG</w:t>
      </w:r>
      <w:r w:rsidRPr="00271F14">
        <w:rPr>
          <w:rFonts w:eastAsia="仿宋_GB2312" w:hint="eastAsia"/>
          <w:sz w:val="30"/>
          <w:szCs w:val="30"/>
        </w:rPr>
        <w:t>信息方面应当发挥重要作用。在</w:t>
      </w:r>
      <w:r w:rsidRPr="002127DF">
        <w:rPr>
          <w:rFonts w:eastAsia="仿宋_GB2312" w:hint="eastAsia"/>
          <w:sz w:val="30"/>
          <w:szCs w:val="30"/>
        </w:rPr>
        <w:t>一些司法管辖区，目前已向发行人发布了有关将重要性原则应用于</w:t>
      </w:r>
      <w:r w:rsidRPr="002127DF">
        <w:rPr>
          <w:rFonts w:eastAsia="仿宋_GB2312" w:hint="eastAsia"/>
          <w:sz w:val="30"/>
          <w:szCs w:val="30"/>
        </w:rPr>
        <w:t>ESG</w:t>
      </w:r>
      <w:r w:rsidRPr="002127DF">
        <w:rPr>
          <w:rFonts w:eastAsia="仿宋_GB2312" w:hint="eastAsia"/>
          <w:sz w:val="30"/>
          <w:szCs w:val="30"/>
        </w:rPr>
        <w:t>事项的指引。另有一些司法管辖区还要求按照强制性或根据遵守或解释的方法明确披露</w:t>
      </w:r>
      <w:r w:rsidRPr="002127DF">
        <w:rPr>
          <w:rFonts w:eastAsia="仿宋_GB2312" w:hint="eastAsia"/>
          <w:sz w:val="30"/>
          <w:szCs w:val="30"/>
        </w:rPr>
        <w:t>ESG</w:t>
      </w:r>
      <w:r w:rsidRPr="002127DF">
        <w:rPr>
          <w:rFonts w:eastAsia="仿宋_GB2312" w:hint="eastAsia"/>
          <w:sz w:val="30"/>
          <w:szCs w:val="30"/>
        </w:rPr>
        <w:t>信息。</w:t>
      </w:r>
    </w:p>
    <w:p w:rsidR="00627EB3" w:rsidRDefault="00596D15" w:rsidP="00FC0BC5">
      <w:pPr>
        <w:ind w:firstLineChars="200" w:firstLine="600"/>
        <w:rPr>
          <w:rStyle w:val="a8"/>
          <w:rFonts w:cs="Arial"/>
          <w:color w:val="auto"/>
          <w:sz w:val="30"/>
          <w:szCs w:val="30"/>
          <w:u w:val="none"/>
        </w:rPr>
      </w:pPr>
      <w:r w:rsidRPr="002127DF">
        <w:rPr>
          <w:rStyle w:val="a8"/>
          <w:rFonts w:cs="Arial" w:hint="eastAsia"/>
          <w:color w:val="auto"/>
          <w:sz w:val="30"/>
          <w:szCs w:val="30"/>
          <w:u w:val="none"/>
        </w:rPr>
        <w:t>网址链接：</w:t>
      </w:r>
    </w:p>
    <w:p w:rsidR="00596D15" w:rsidRPr="002127DF" w:rsidRDefault="009D05E8" w:rsidP="00627EB3">
      <w:pPr>
        <w:ind w:firstLineChars="200" w:firstLine="480"/>
        <w:rPr>
          <w:rStyle w:val="a8"/>
          <w:rFonts w:cs="Arial"/>
          <w:sz w:val="30"/>
          <w:szCs w:val="30"/>
        </w:rPr>
      </w:pPr>
      <w:hyperlink r:id="rId13" w:history="1">
        <w:r w:rsidR="00596D15" w:rsidRPr="002127DF">
          <w:rPr>
            <w:rStyle w:val="a8"/>
            <w:rFonts w:hint="eastAsia"/>
            <w:sz w:val="30"/>
            <w:szCs w:val="30"/>
          </w:rPr>
          <w:t>https://www.iosco.org/library/pubdocs/pdf/IOSCOPD619.pdf</w:t>
        </w:r>
      </w:hyperlink>
    </w:p>
    <w:p w:rsidR="00596D15" w:rsidRPr="002127DF" w:rsidRDefault="00596D15" w:rsidP="00596D15">
      <w:pPr>
        <w:rPr>
          <w:rStyle w:val="a8"/>
          <w:rFonts w:eastAsia="楷体"/>
          <w:sz w:val="30"/>
          <w:szCs w:val="30"/>
        </w:rPr>
      </w:pPr>
    </w:p>
    <w:p w:rsidR="00596D15" w:rsidRPr="002127DF" w:rsidRDefault="006D0DC4" w:rsidP="00271F14">
      <w:pPr>
        <w:spacing w:beforeLines="100" w:afterLines="100"/>
        <w:outlineLvl w:val="1"/>
        <w:rPr>
          <w:rFonts w:eastAsia="黑体"/>
          <w:b/>
          <w:sz w:val="30"/>
          <w:szCs w:val="30"/>
        </w:rPr>
      </w:pPr>
      <w:r w:rsidRPr="002127DF">
        <w:rPr>
          <w:rFonts w:eastAsia="黑体" w:hint="eastAsia"/>
          <w:b/>
          <w:sz w:val="30"/>
          <w:szCs w:val="30"/>
        </w:rPr>
        <w:t>IOSCO</w:t>
      </w:r>
      <w:r w:rsidR="00596D15" w:rsidRPr="002127DF">
        <w:rPr>
          <w:rFonts w:eastAsia="黑体" w:hAnsi="黑体" w:hint="eastAsia"/>
          <w:b/>
          <w:sz w:val="30"/>
          <w:szCs w:val="30"/>
        </w:rPr>
        <w:t>：新兴市场监管机构就可持续金融相关建议进行咨询，更好地保护投资者权益</w:t>
      </w:r>
    </w:p>
    <w:p w:rsidR="00596D15" w:rsidRPr="002127DF" w:rsidRDefault="00596D15" w:rsidP="00596D15">
      <w:pPr>
        <w:ind w:firstLineChars="200" w:firstLine="600"/>
        <w:jc w:val="both"/>
        <w:rPr>
          <w:rFonts w:eastAsia="仿宋_GB2312"/>
          <w:sz w:val="30"/>
          <w:szCs w:val="30"/>
        </w:rPr>
      </w:pPr>
      <w:r w:rsidRPr="002127DF">
        <w:rPr>
          <w:rFonts w:eastAsia="仿宋_GB2312" w:hint="eastAsia"/>
          <w:sz w:val="30"/>
          <w:szCs w:val="30"/>
        </w:rPr>
        <w:t>IOSCO</w:t>
      </w:r>
      <w:r w:rsidRPr="002127DF">
        <w:rPr>
          <w:rFonts w:eastAsia="仿宋_GB2312" w:hint="eastAsia"/>
          <w:sz w:val="30"/>
          <w:szCs w:val="30"/>
        </w:rPr>
        <w:t>成长与新兴市场委员会（</w:t>
      </w:r>
      <w:r w:rsidRPr="002127DF">
        <w:rPr>
          <w:rFonts w:eastAsia="仿宋_GB2312" w:hint="eastAsia"/>
          <w:sz w:val="30"/>
          <w:szCs w:val="30"/>
        </w:rPr>
        <w:t>GEMC</w:t>
      </w:r>
      <w:r w:rsidRPr="002127DF">
        <w:rPr>
          <w:rFonts w:eastAsia="仿宋_GB2312" w:hint="eastAsia"/>
          <w:sz w:val="30"/>
          <w:szCs w:val="30"/>
        </w:rPr>
        <w:t>）于</w:t>
      </w:r>
      <w:r w:rsidRPr="002127DF">
        <w:rPr>
          <w:rFonts w:eastAsia="仿宋_GB2312" w:hint="eastAsia"/>
          <w:sz w:val="30"/>
          <w:szCs w:val="30"/>
        </w:rPr>
        <w:t>2019</w:t>
      </w:r>
      <w:r w:rsidRPr="002127DF">
        <w:rPr>
          <w:rFonts w:eastAsia="仿宋_GB2312" w:hint="eastAsia"/>
          <w:sz w:val="30"/>
          <w:szCs w:val="30"/>
        </w:rPr>
        <w:t>年</w:t>
      </w:r>
      <w:r w:rsidRPr="002127DF">
        <w:rPr>
          <w:rFonts w:eastAsia="仿宋_GB2312" w:hint="eastAsia"/>
          <w:sz w:val="30"/>
          <w:szCs w:val="30"/>
        </w:rPr>
        <w:t>2</w:t>
      </w:r>
      <w:r w:rsidRPr="002127DF">
        <w:rPr>
          <w:rFonts w:eastAsia="仿宋_GB2312" w:hint="eastAsia"/>
          <w:sz w:val="30"/>
          <w:szCs w:val="30"/>
        </w:rPr>
        <w:t>月</w:t>
      </w:r>
      <w:r w:rsidRPr="002127DF">
        <w:rPr>
          <w:rFonts w:eastAsia="仿宋_GB2312" w:hint="eastAsia"/>
          <w:sz w:val="30"/>
          <w:szCs w:val="30"/>
        </w:rPr>
        <w:t>1</w:t>
      </w:r>
      <w:r w:rsidRPr="002127DF">
        <w:rPr>
          <w:rFonts w:eastAsia="仿宋_GB2312" w:hint="eastAsia"/>
          <w:sz w:val="30"/>
          <w:szCs w:val="30"/>
        </w:rPr>
        <w:t>日发布了《新兴市场中的可持续金融和证券监管机构作用》的咨询报告，为新兴市场成员国提出了</w:t>
      </w:r>
      <w:r w:rsidRPr="002127DF">
        <w:rPr>
          <w:rFonts w:eastAsia="仿宋_GB2312" w:hint="eastAsia"/>
          <w:sz w:val="30"/>
          <w:szCs w:val="30"/>
        </w:rPr>
        <w:t>11</w:t>
      </w:r>
      <w:r w:rsidRPr="002127DF">
        <w:rPr>
          <w:rFonts w:eastAsia="仿宋_GB2312" w:hint="eastAsia"/>
          <w:sz w:val="30"/>
          <w:szCs w:val="30"/>
        </w:rPr>
        <w:t>项建议，以便在发布有关可持续金融工具的法规或指引时予以考虑。此外，为了提高市场透明度，建议中还提出了关于披露环境、社会和治理（</w:t>
      </w:r>
      <w:r w:rsidRPr="002127DF">
        <w:rPr>
          <w:rFonts w:eastAsia="仿宋_GB2312" w:hint="eastAsia"/>
          <w:sz w:val="30"/>
          <w:szCs w:val="30"/>
        </w:rPr>
        <w:t>ESG</w:t>
      </w:r>
      <w:r w:rsidRPr="002127DF">
        <w:rPr>
          <w:rFonts w:eastAsia="仿宋_GB2312" w:hint="eastAsia"/>
          <w:sz w:val="30"/>
          <w:szCs w:val="30"/>
        </w:rPr>
        <w:t>）特定风险的要求。</w:t>
      </w:r>
    </w:p>
    <w:p w:rsidR="00596D15" w:rsidRPr="002127DF" w:rsidRDefault="00596D15" w:rsidP="00596D15">
      <w:pPr>
        <w:ind w:firstLineChars="200" w:firstLine="600"/>
        <w:jc w:val="both"/>
        <w:rPr>
          <w:rFonts w:eastAsia="楷体"/>
          <w:sz w:val="30"/>
          <w:szCs w:val="30"/>
        </w:rPr>
      </w:pPr>
      <w:r w:rsidRPr="002127DF">
        <w:rPr>
          <w:rFonts w:eastAsia="仿宋_GB2312" w:hint="eastAsia"/>
          <w:sz w:val="30"/>
          <w:szCs w:val="30"/>
        </w:rPr>
        <w:lastRenderedPageBreak/>
        <w:t>GEMC</w:t>
      </w:r>
      <w:r w:rsidRPr="002127DF">
        <w:rPr>
          <w:rFonts w:eastAsia="仿宋_GB2312" w:hint="eastAsia"/>
          <w:sz w:val="30"/>
          <w:szCs w:val="30"/>
        </w:rPr>
        <w:t>提出的</w:t>
      </w:r>
      <w:r w:rsidRPr="002127DF">
        <w:rPr>
          <w:rFonts w:eastAsia="仿宋_GB2312" w:hint="eastAsia"/>
          <w:sz w:val="30"/>
          <w:szCs w:val="30"/>
        </w:rPr>
        <w:t>11</w:t>
      </w:r>
      <w:r w:rsidRPr="002127DF">
        <w:rPr>
          <w:rFonts w:eastAsia="仿宋_GB2312" w:hint="eastAsia"/>
          <w:sz w:val="30"/>
          <w:szCs w:val="30"/>
        </w:rPr>
        <w:t>项建议可以分为</w:t>
      </w:r>
      <w:r w:rsidR="00485222" w:rsidRPr="002127DF">
        <w:rPr>
          <w:rFonts w:eastAsia="仿宋_GB2312" w:hint="eastAsia"/>
          <w:sz w:val="30"/>
          <w:szCs w:val="30"/>
        </w:rPr>
        <w:t>：</w:t>
      </w:r>
      <w:r w:rsidRPr="002127DF">
        <w:rPr>
          <w:rFonts w:eastAsia="仿宋_GB2312" w:hAnsi="仿宋_GB2312" w:cs="仿宋_GB2312" w:hint="eastAsia"/>
          <w:sz w:val="30"/>
          <w:szCs w:val="30"/>
        </w:rPr>
        <w:t>发行人和被监管方将</w:t>
      </w:r>
      <w:r w:rsidRPr="002127DF">
        <w:rPr>
          <w:rFonts w:eastAsia="仿宋_GB2312" w:hint="eastAsia"/>
          <w:sz w:val="30"/>
          <w:szCs w:val="30"/>
        </w:rPr>
        <w:t>ESG</w:t>
      </w:r>
      <w:r w:rsidR="00485222" w:rsidRPr="002127DF">
        <w:rPr>
          <w:rFonts w:eastAsia="仿宋_GB2312" w:hint="eastAsia"/>
          <w:sz w:val="30"/>
          <w:szCs w:val="30"/>
        </w:rPr>
        <w:t>特定问题纳入其总体风险偏好和治理，</w:t>
      </w:r>
      <w:r w:rsidRPr="002127DF">
        <w:rPr>
          <w:rFonts w:eastAsia="仿宋_GB2312" w:hint="eastAsia"/>
          <w:sz w:val="30"/>
          <w:szCs w:val="30"/>
        </w:rPr>
        <w:t>ESG</w:t>
      </w:r>
      <w:r w:rsidRPr="002127DF">
        <w:rPr>
          <w:rFonts w:eastAsia="仿宋_GB2312" w:hint="eastAsia"/>
          <w:sz w:val="30"/>
          <w:szCs w:val="30"/>
        </w:rPr>
        <w:t>特定披露和报告</w:t>
      </w:r>
      <w:r w:rsidR="00485222" w:rsidRPr="002127DF">
        <w:rPr>
          <w:rFonts w:eastAsia="仿宋_GB2312" w:hint="eastAsia"/>
          <w:sz w:val="30"/>
          <w:szCs w:val="30"/>
        </w:rPr>
        <w:t>，</w:t>
      </w:r>
      <w:r w:rsidR="00485222" w:rsidRPr="002127DF">
        <w:rPr>
          <w:rFonts w:eastAsia="仿宋_GB2312" w:hAnsi="仿宋_GB2312" w:cs="仿宋_GB2312" w:hint="eastAsia"/>
          <w:sz w:val="30"/>
          <w:szCs w:val="30"/>
        </w:rPr>
        <w:t>数据质量、可持续工具的定义，符合条件的项目和活动，</w:t>
      </w:r>
      <w:r w:rsidRPr="002127DF">
        <w:rPr>
          <w:rFonts w:eastAsia="仿宋_GB2312" w:hAnsi="仿宋_GB2312" w:cs="仿宋_GB2312" w:hint="eastAsia"/>
          <w:sz w:val="30"/>
          <w:szCs w:val="30"/>
        </w:rPr>
        <w:t>将</w:t>
      </w:r>
      <w:r w:rsidRPr="002127DF">
        <w:rPr>
          <w:rFonts w:eastAsia="仿宋_GB2312" w:hint="eastAsia"/>
          <w:sz w:val="30"/>
          <w:szCs w:val="30"/>
        </w:rPr>
        <w:t>ESG</w:t>
      </w:r>
      <w:r w:rsidR="00485222" w:rsidRPr="002127DF">
        <w:rPr>
          <w:rFonts w:eastAsia="仿宋_GB2312" w:hint="eastAsia"/>
          <w:sz w:val="30"/>
          <w:szCs w:val="30"/>
        </w:rPr>
        <w:t>特定问题纳入机构投资者的投资分析，</w:t>
      </w:r>
      <w:r w:rsidRPr="002127DF">
        <w:rPr>
          <w:rFonts w:eastAsia="仿宋_GB2312" w:hint="eastAsia"/>
          <w:sz w:val="30"/>
          <w:szCs w:val="30"/>
        </w:rPr>
        <w:t>战略和总体治理</w:t>
      </w:r>
      <w:r w:rsidR="00485222" w:rsidRPr="002127DF">
        <w:rPr>
          <w:rFonts w:eastAsia="仿宋_GB2312" w:hint="eastAsia"/>
          <w:sz w:val="30"/>
          <w:szCs w:val="30"/>
        </w:rPr>
        <w:t>，</w:t>
      </w:r>
      <w:r w:rsidRPr="002127DF">
        <w:rPr>
          <w:rFonts w:eastAsia="仿宋_GB2312" w:hAnsi="仿宋_GB2312" w:cs="仿宋_GB2312" w:hint="eastAsia"/>
          <w:sz w:val="30"/>
          <w:szCs w:val="30"/>
        </w:rPr>
        <w:t>为</w:t>
      </w:r>
      <w:r w:rsidRPr="002127DF">
        <w:rPr>
          <w:rFonts w:eastAsia="仿宋_GB2312" w:hint="eastAsia"/>
          <w:sz w:val="30"/>
          <w:szCs w:val="30"/>
        </w:rPr>
        <w:t>ESG</w:t>
      </w:r>
      <w:r w:rsidRPr="002127DF">
        <w:rPr>
          <w:rFonts w:eastAsia="仿宋_GB2312" w:hint="eastAsia"/>
          <w:sz w:val="30"/>
          <w:szCs w:val="30"/>
        </w:rPr>
        <w:t>问题培养能力和提升专业度七大类。</w:t>
      </w:r>
    </w:p>
    <w:p w:rsidR="00596D15" w:rsidRPr="002127DF" w:rsidRDefault="00596D15" w:rsidP="00596D15">
      <w:pPr>
        <w:ind w:firstLineChars="200" w:firstLine="600"/>
        <w:jc w:val="both"/>
        <w:rPr>
          <w:rFonts w:eastAsia="仿宋_GB2312"/>
          <w:sz w:val="30"/>
          <w:szCs w:val="30"/>
        </w:rPr>
      </w:pPr>
      <w:r w:rsidRPr="002127DF">
        <w:rPr>
          <w:rFonts w:eastAsia="仿宋_GB2312" w:hint="eastAsia"/>
          <w:sz w:val="30"/>
          <w:szCs w:val="30"/>
        </w:rPr>
        <w:t>咨询报告探讨了影响新兴资本市场可持续金融发展的趋势和挑战，介绍了监管机构、证券交易所、政策制定者和其他新兴市场主要利益相关者在该领域开展的活动。另外，该报告确定了创建促进可持续金融的生态系统的先决条件，例如，适当的监管体系和适合的市场基础设施、报告和披露要求、投资者保护指南，以及解决机构投资者需要和要求的机制。</w:t>
      </w:r>
    </w:p>
    <w:p w:rsidR="00627EB3" w:rsidRDefault="00596D15" w:rsidP="00FC0BC5">
      <w:pPr>
        <w:ind w:firstLineChars="200" w:firstLine="600"/>
        <w:rPr>
          <w:rStyle w:val="a8"/>
          <w:rFonts w:cs="Arial"/>
          <w:color w:val="auto"/>
          <w:sz w:val="30"/>
          <w:szCs w:val="30"/>
          <w:u w:val="none"/>
        </w:rPr>
      </w:pPr>
      <w:r w:rsidRPr="002127DF">
        <w:rPr>
          <w:rStyle w:val="a8"/>
          <w:rFonts w:cs="Arial" w:hint="eastAsia"/>
          <w:color w:val="auto"/>
          <w:sz w:val="30"/>
          <w:szCs w:val="30"/>
          <w:u w:val="none"/>
        </w:rPr>
        <w:t>网址链接：</w:t>
      </w:r>
    </w:p>
    <w:p w:rsidR="00596D15" w:rsidRPr="00FC0BC5" w:rsidRDefault="009D05E8" w:rsidP="00627EB3">
      <w:pPr>
        <w:ind w:firstLineChars="200" w:firstLine="480"/>
        <w:rPr>
          <w:rStyle w:val="a8"/>
          <w:rFonts w:cs="Arial"/>
          <w:color w:val="auto"/>
          <w:sz w:val="30"/>
          <w:szCs w:val="30"/>
          <w:u w:val="none"/>
        </w:rPr>
      </w:pPr>
      <w:hyperlink r:id="rId14" w:history="1">
        <w:r w:rsidR="00596D15" w:rsidRPr="002127DF">
          <w:rPr>
            <w:rStyle w:val="a8"/>
            <w:rFonts w:hint="eastAsia"/>
            <w:sz w:val="30"/>
            <w:szCs w:val="30"/>
          </w:rPr>
          <w:t>https://www.iosco.org/news/pdf/IOSCONEWS522.pdf</w:t>
        </w:r>
      </w:hyperlink>
    </w:p>
    <w:p w:rsidR="00596D15" w:rsidRPr="002127DF" w:rsidRDefault="00596D15" w:rsidP="00596D15">
      <w:pPr>
        <w:rPr>
          <w:rStyle w:val="a8"/>
          <w:rFonts w:eastAsia="楷体"/>
          <w:sz w:val="28"/>
        </w:rPr>
      </w:pPr>
    </w:p>
    <w:p w:rsidR="00596D15" w:rsidRPr="002127DF" w:rsidRDefault="006D0DC4" w:rsidP="00271F14">
      <w:pPr>
        <w:spacing w:beforeLines="100" w:afterLines="100"/>
        <w:outlineLvl w:val="1"/>
        <w:rPr>
          <w:rFonts w:eastAsia="黑体"/>
          <w:b/>
          <w:sz w:val="30"/>
          <w:szCs w:val="30"/>
        </w:rPr>
      </w:pPr>
      <w:r w:rsidRPr="002127DF">
        <w:rPr>
          <w:rFonts w:eastAsia="黑体" w:hint="eastAsia"/>
          <w:b/>
          <w:sz w:val="30"/>
          <w:szCs w:val="30"/>
        </w:rPr>
        <w:t>ESMA</w:t>
      </w:r>
      <w:r w:rsidR="00596D15" w:rsidRPr="002127DF">
        <w:rPr>
          <w:rFonts w:eastAsia="黑体" w:hAnsi="黑体" w:hint="eastAsia"/>
          <w:b/>
          <w:sz w:val="30"/>
          <w:szCs w:val="30"/>
        </w:rPr>
        <w:t>：决定将二元期权禁令从</w:t>
      </w:r>
      <w:r w:rsidR="00596D15" w:rsidRPr="002127DF">
        <w:rPr>
          <w:rFonts w:eastAsia="黑体" w:hint="eastAsia"/>
          <w:b/>
          <w:sz w:val="30"/>
          <w:szCs w:val="30"/>
        </w:rPr>
        <w:t>2019</w:t>
      </w:r>
      <w:r w:rsidR="00596D15" w:rsidRPr="002127DF">
        <w:rPr>
          <w:rFonts w:eastAsia="黑体" w:hAnsi="黑体" w:hint="eastAsia"/>
          <w:b/>
          <w:sz w:val="30"/>
          <w:szCs w:val="30"/>
        </w:rPr>
        <w:t>年</w:t>
      </w:r>
      <w:r w:rsidR="00596D15" w:rsidRPr="002127DF">
        <w:rPr>
          <w:rFonts w:eastAsia="黑体" w:hint="eastAsia"/>
          <w:b/>
          <w:sz w:val="30"/>
          <w:szCs w:val="30"/>
        </w:rPr>
        <w:t>4</w:t>
      </w:r>
      <w:r w:rsidR="00596D15" w:rsidRPr="002127DF">
        <w:rPr>
          <w:rFonts w:eastAsia="黑体" w:hAnsi="黑体" w:hint="eastAsia"/>
          <w:b/>
          <w:sz w:val="30"/>
          <w:szCs w:val="30"/>
        </w:rPr>
        <w:t>月</w:t>
      </w:r>
      <w:r w:rsidR="00596D15" w:rsidRPr="002127DF">
        <w:rPr>
          <w:rFonts w:eastAsia="黑体" w:hint="eastAsia"/>
          <w:b/>
          <w:sz w:val="30"/>
          <w:szCs w:val="30"/>
        </w:rPr>
        <w:t>2</w:t>
      </w:r>
      <w:r w:rsidR="00596D15" w:rsidRPr="002127DF">
        <w:rPr>
          <w:rFonts w:eastAsia="黑体" w:hAnsi="黑体" w:hint="eastAsia"/>
          <w:b/>
          <w:sz w:val="30"/>
          <w:szCs w:val="30"/>
        </w:rPr>
        <w:t>日起再延长三个月，进一步维护投资者合法权利</w:t>
      </w:r>
    </w:p>
    <w:p w:rsidR="00596D15" w:rsidRPr="002127DF" w:rsidRDefault="00596D15" w:rsidP="00596D15">
      <w:pPr>
        <w:ind w:firstLineChars="200" w:firstLine="600"/>
        <w:jc w:val="both"/>
        <w:rPr>
          <w:rFonts w:eastAsia="仿宋_GB2312"/>
          <w:sz w:val="30"/>
          <w:szCs w:val="30"/>
        </w:rPr>
      </w:pPr>
      <w:r w:rsidRPr="002127DF">
        <w:rPr>
          <w:rFonts w:eastAsia="仿宋_GB2312" w:hint="eastAsia"/>
          <w:sz w:val="30"/>
          <w:szCs w:val="30"/>
        </w:rPr>
        <w:t>2019</w:t>
      </w:r>
      <w:r w:rsidRPr="002127DF">
        <w:rPr>
          <w:rFonts w:eastAsia="仿宋_GB2312" w:hint="eastAsia"/>
          <w:sz w:val="30"/>
          <w:szCs w:val="30"/>
        </w:rPr>
        <w:t>年</w:t>
      </w:r>
      <w:r w:rsidRPr="002127DF">
        <w:rPr>
          <w:rFonts w:eastAsia="仿宋_GB2312" w:hint="eastAsia"/>
          <w:sz w:val="30"/>
          <w:szCs w:val="30"/>
        </w:rPr>
        <w:t>2</w:t>
      </w:r>
      <w:r w:rsidRPr="002127DF">
        <w:rPr>
          <w:rFonts w:eastAsia="仿宋_GB2312" w:hint="eastAsia"/>
          <w:sz w:val="30"/>
          <w:szCs w:val="30"/>
        </w:rPr>
        <w:t>月</w:t>
      </w:r>
      <w:r w:rsidRPr="002127DF">
        <w:rPr>
          <w:rFonts w:eastAsia="仿宋_GB2312" w:hint="eastAsia"/>
          <w:sz w:val="30"/>
          <w:szCs w:val="30"/>
        </w:rPr>
        <w:t>18</w:t>
      </w:r>
      <w:r w:rsidRPr="002127DF">
        <w:rPr>
          <w:rFonts w:eastAsia="仿宋_GB2312" w:hint="eastAsia"/>
          <w:sz w:val="30"/>
          <w:szCs w:val="30"/>
        </w:rPr>
        <w:t>日，欧洲证券和市场管理局（</w:t>
      </w:r>
      <w:r w:rsidRPr="002127DF">
        <w:rPr>
          <w:rFonts w:eastAsia="仿宋_GB2312" w:hint="eastAsia"/>
          <w:sz w:val="30"/>
          <w:szCs w:val="30"/>
        </w:rPr>
        <w:t>ESMA</w:t>
      </w:r>
      <w:r w:rsidRPr="002127DF">
        <w:rPr>
          <w:rFonts w:eastAsia="仿宋_GB2312" w:hint="eastAsia"/>
          <w:sz w:val="30"/>
          <w:szCs w:val="30"/>
        </w:rPr>
        <w:t>）同意将自</w:t>
      </w:r>
      <w:r w:rsidRPr="002127DF">
        <w:rPr>
          <w:rFonts w:eastAsia="仿宋_GB2312" w:hint="eastAsia"/>
          <w:sz w:val="30"/>
          <w:szCs w:val="30"/>
        </w:rPr>
        <w:t>2018</w:t>
      </w:r>
      <w:r w:rsidRPr="002127DF">
        <w:rPr>
          <w:rFonts w:eastAsia="仿宋_GB2312" w:hint="eastAsia"/>
          <w:sz w:val="30"/>
          <w:szCs w:val="30"/>
        </w:rPr>
        <w:t>年</w:t>
      </w:r>
      <w:r w:rsidRPr="002127DF">
        <w:rPr>
          <w:rFonts w:eastAsia="仿宋_GB2312" w:hint="eastAsia"/>
          <w:sz w:val="30"/>
          <w:szCs w:val="30"/>
        </w:rPr>
        <w:t>7</w:t>
      </w:r>
      <w:r w:rsidRPr="002127DF">
        <w:rPr>
          <w:rFonts w:eastAsia="仿宋_GB2312" w:hint="eastAsia"/>
          <w:sz w:val="30"/>
          <w:szCs w:val="30"/>
        </w:rPr>
        <w:t>月</w:t>
      </w:r>
      <w:r w:rsidRPr="002127DF">
        <w:rPr>
          <w:rFonts w:eastAsia="仿宋_GB2312" w:hint="eastAsia"/>
          <w:sz w:val="30"/>
          <w:szCs w:val="30"/>
        </w:rPr>
        <w:t>2</w:t>
      </w:r>
      <w:r w:rsidRPr="002127DF">
        <w:rPr>
          <w:rFonts w:eastAsia="仿宋_GB2312" w:hint="eastAsia"/>
          <w:sz w:val="30"/>
          <w:szCs w:val="30"/>
        </w:rPr>
        <w:t>日起生效的禁止向零售客户销售、分销或出售二元期权的禁令再延长三个月。</w:t>
      </w:r>
    </w:p>
    <w:p w:rsidR="00596D15" w:rsidRPr="002127DF" w:rsidRDefault="00596D15" w:rsidP="00596D15">
      <w:pPr>
        <w:ind w:firstLineChars="200" w:firstLine="600"/>
        <w:jc w:val="both"/>
        <w:rPr>
          <w:rFonts w:eastAsia="仿宋_GB2312"/>
          <w:sz w:val="30"/>
          <w:szCs w:val="30"/>
        </w:rPr>
      </w:pPr>
      <w:r w:rsidRPr="002127DF">
        <w:rPr>
          <w:rFonts w:eastAsia="仿宋_GB2312" w:hint="eastAsia"/>
          <w:sz w:val="30"/>
          <w:szCs w:val="30"/>
        </w:rPr>
        <w:t>ESMA</w:t>
      </w:r>
      <w:r w:rsidRPr="002127DF">
        <w:rPr>
          <w:rFonts w:eastAsia="仿宋_GB2312" w:hint="eastAsia"/>
          <w:sz w:val="30"/>
          <w:szCs w:val="30"/>
        </w:rPr>
        <w:t>仔细考虑了延长目前有效干预措施的必要性，认为与向零售客户提供二元期权有关的投资者保护问题仍然存在。因此，</w:t>
      </w:r>
      <w:r w:rsidRPr="002127DF">
        <w:rPr>
          <w:rFonts w:eastAsia="仿宋_GB2312" w:hint="eastAsia"/>
          <w:sz w:val="30"/>
          <w:szCs w:val="30"/>
        </w:rPr>
        <w:lastRenderedPageBreak/>
        <w:t>ESMA</w:t>
      </w:r>
      <w:r w:rsidRPr="002127DF">
        <w:rPr>
          <w:rFonts w:eastAsia="仿宋_GB2312" w:hint="eastAsia"/>
          <w:sz w:val="30"/>
          <w:szCs w:val="30"/>
        </w:rPr>
        <w:t>同意从</w:t>
      </w:r>
      <w:r w:rsidRPr="002127DF">
        <w:rPr>
          <w:rFonts w:eastAsia="仿宋_GB2312" w:hint="eastAsia"/>
          <w:sz w:val="30"/>
          <w:szCs w:val="30"/>
        </w:rPr>
        <w:t>2019</w:t>
      </w:r>
      <w:r w:rsidRPr="002127DF">
        <w:rPr>
          <w:rFonts w:eastAsia="仿宋_GB2312" w:hint="eastAsia"/>
          <w:sz w:val="30"/>
          <w:szCs w:val="30"/>
        </w:rPr>
        <w:t>年</w:t>
      </w:r>
      <w:r w:rsidRPr="002127DF">
        <w:rPr>
          <w:rFonts w:eastAsia="仿宋_GB2312" w:hint="eastAsia"/>
          <w:sz w:val="30"/>
          <w:szCs w:val="30"/>
        </w:rPr>
        <w:t>4</w:t>
      </w:r>
      <w:r w:rsidRPr="002127DF">
        <w:rPr>
          <w:rFonts w:eastAsia="仿宋_GB2312" w:hint="eastAsia"/>
          <w:sz w:val="30"/>
          <w:szCs w:val="30"/>
        </w:rPr>
        <w:t>月</w:t>
      </w:r>
      <w:r w:rsidRPr="002127DF">
        <w:rPr>
          <w:rFonts w:eastAsia="仿宋_GB2312" w:hint="eastAsia"/>
          <w:sz w:val="30"/>
          <w:szCs w:val="30"/>
        </w:rPr>
        <w:t>2</w:t>
      </w:r>
      <w:r w:rsidRPr="002127DF">
        <w:rPr>
          <w:rFonts w:eastAsia="仿宋_GB2312" w:hint="eastAsia"/>
          <w:sz w:val="30"/>
          <w:szCs w:val="30"/>
        </w:rPr>
        <w:t>日起，按照与</w:t>
      </w:r>
      <w:r w:rsidRPr="002127DF">
        <w:rPr>
          <w:rFonts w:eastAsia="仿宋_GB2312" w:hint="eastAsia"/>
          <w:sz w:val="30"/>
          <w:szCs w:val="30"/>
        </w:rPr>
        <w:t>2019</w:t>
      </w:r>
      <w:r w:rsidRPr="002127DF">
        <w:rPr>
          <w:rFonts w:eastAsia="仿宋_GB2312" w:hint="eastAsia"/>
          <w:sz w:val="30"/>
          <w:szCs w:val="30"/>
        </w:rPr>
        <w:t>年</w:t>
      </w:r>
      <w:r w:rsidRPr="002127DF">
        <w:rPr>
          <w:rFonts w:eastAsia="仿宋_GB2312" w:hint="eastAsia"/>
          <w:sz w:val="30"/>
          <w:szCs w:val="30"/>
        </w:rPr>
        <w:t>1</w:t>
      </w:r>
      <w:r w:rsidRPr="002127DF">
        <w:rPr>
          <w:rFonts w:eastAsia="仿宋_GB2312" w:hint="eastAsia"/>
          <w:sz w:val="30"/>
          <w:szCs w:val="30"/>
        </w:rPr>
        <w:t>月</w:t>
      </w:r>
      <w:r w:rsidRPr="002127DF">
        <w:rPr>
          <w:rFonts w:eastAsia="仿宋_GB2312" w:hint="eastAsia"/>
          <w:sz w:val="30"/>
          <w:szCs w:val="30"/>
        </w:rPr>
        <w:t>2</w:t>
      </w:r>
      <w:r w:rsidRPr="002127DF">
        <w:rPr>
          <w:rFonts w:eastAsia="仿宋_GB2312" w:hint="eastAsia"/>
          <w:sz w:val="30"/>
          <w:szCs w:val="30"/>
        </w:rPr>
        <w:t>日开始适用的先前续约决定相同的条款续约该措施。</w:t>
      </w:r>
    </w:p>
    <w:p w:rsidR="00596D15" w:rsidRPr="002127DF" w:rsidRDefault="00596D15" w:rsidP="00596D15">
      <w:pPr>
        <w:ind w:firstLineChars="200" w:firstLine="600"/>
        <w:jc w:val="both"/>
        <w:rPr>
          <w:rFonts w:eastAsia="仿宋_GB2312"/>
          <w:sz w:val="30"/>
          <w:szCs w:val="30"/>
        </w:rPr>
      </w:pPr>
      <w:r w:rsidRPr="002127DF">
        <w:rPr>
          <w:rFonts w:eastAsia="仿宋_GB2312" w:hint="eastAsia"/>
          <w:sz w:val="30"/>
          <w:szCs w:val="30"/>
        </w:rPr>
        <w:t>ESMA</w:t>
      </w:r>
      <w:r w:rsidRPr="002127DF">
        <w:rPr>
          <w:rFonts w:eastAsia="仿宋_GB2312" w:hint="eastAsia"/>
          <w:sz w:val="30"/>
          <w:szCs w:val="30"/>
        </w:rPr>
        <w:t>监事会于</w:t>
      </w:r>
      <w:r w:rsidRPr="002127DF">
        <w:rPr>
          <w:rFonts w:eastAsia="仿宋_GB2312" w:hint="eastAsia"/>
          <w:sz w:val="30"/>
          <w:szCs w:val="30"/>
        </w:rPr>
        <w:t>2019</w:t>
      </w:r>
      <w:r w:rsidRPr="002127DF">
        <w:rPr>
          <w:rFonts w:eastAsia="仿宋_GB2312" w:hint="eastAsia"/>
          <w:sz w:val="30"/>
          <w:szCs w:val="30"/>
        </w:rPr>
        <w:t>年</w:t>
      </w:r>
      <w:r w:rsidRPr="002127DF">
        <w:rPr>
          <w:rFonts w:eastAsia="仿宋_GB2312" w:hint="eastAsia"/>
          <w:sz w:val="30"/>
          <w:szCs w:val="30"/>
        </w:rPr>
        <w:t>2</w:t>
      </w:r>
      <w:r w:rsidRPr="002127DF">
        <w:rPr>
          <w:rFonts w:eastAsia="仿宋_GB2312" w:hint="eastAsia"/>
          <w:sz w:val="30"/>
          <w:szCs w:val="30"/>
        </w:rPr>
        <w:t>月</w:t>
      </w:r>
      <w:r w:rsidRPr="002127DF">
        <w:rPr>
          <w:rFonts w:eastAsia="仿宋_GB2312" w:hint="eastAsia"/>
          <w:sz w:val="30"/>
          <w:szCs w:val="30"/>
        </w:rPr>
        <w:t>14</w:t>
      </w:r>
      <w:r w:rsidRPr="002127DF">
        <w:rPr>
          <w:rFonts w:eastAsia="仿宋_GB2312" w:hint="eastAsia"/>
          <w:sz w:val="30"/>
          <w:szCs w:val="30"/>
        </w:rPr>
        <w:t>日同意续约。</w:t>
      </w:r>
      <w:r w:rsidRPr="002127DF">
        <w:rPr>
          <w:rFonts w:eastAsia="仿宋_GB2312" w:hint="eastAsia"/>
          <w:sz w:val="30"/>
          <w:szCs w:val="30"/>
        </w:rPr>
        <w:t>ESMA</w:t>
      </w:r>
      <w:r w:rsidRPr="002127DF">
        <w:rPr>
          <w:rFonts w:eastAsia="仿宋_GB2312" w:hint="eastAsia"/>
          <w:sz w:val="30"/>
          <w:szCs w:val="30"/>
        </w:rPr>
        <w:t>计划在未来几周将采用欧盟官方语言更新措施，在官网上发布官方公告。随后，该措施将在欧盟官方刊物上发表，并从</w:t>
      </w:r>
      <w:r w:rsidRPr="002127DF">
        <w:rPr>
          <w:rFonts w:eastAsia="仿宋_GB2312" w:hint="eastAsia"/>
          <w:sz w:val="30"/>
          <w:szCs w:val="30"/>
        </w:rPr>
        <w:t>2019</w:t>
      </w:r>
      <w:r w:rsidRPr="002127DF">
        <w:rPr>
          <w:rFonts w:eastAsia="仿宋_GB2312" w:hint="eastAsia"/>
          <w:sz w:val="30"/>
          <w:szCs w:val="30"/>
        </w:rPr>
        <w:t>年</w:t>
      </w:r>
      <w:r w:rsidRPr="002127DF">
        <w:rPr>
          <w:rFonts w:eastAsia="仿宋_GB2312" w:hint="eastAsia"/>
          <w:sz w:val="30"/>
          <w:szCs w:val="30"/>
        </w:rPr>
        <w:t>4</w:t>
      </w:r>
      <w:r w:rsidRPr="002127DF">
        <w:rPr>
          <w:rFonts w:eastAsia="仿宋_GB2312" w:hint="eastAsia"/>
          <w:sz w:val="30"/>
          <w:szCs w:val="30"/>
        </w:rPr>
        <w:t>月</w:t>
      </w:r>
      <w:r w:rsidRPr="002127DF">
        <w:rPr>
          <w:rFonts w:eastAsia="仿宋_GB2312" w:hint="eastAsia"/>
          <w:sz w:val="30"/>
          <w:szCs w:val="30"/>
        </w:rPr>
        <w:t>2</w:t>
      </w:r>
      <w:r w:rsidRPr="002127DF">
        <w:rPr>
          <w:rFonts w:eastAsia="仿宋_GB2312" w:hint="eastAsia"/>
          <w:sz w:val="30"/>
          <w:szCs w:val="30"/>
        </w:rPr>
        <w:t>日起开始实施，为期三个月。</w:t>
      </w:r>
    </w:p>
    <w:p w:rsidR="00627EB3" w:rsidRDefault="00596D15" w:rsidP="00FC0BC5">
      <w:pPr>
        <w:ind w:firstLineChars="200" w:firstLine="600"/>
        <w:rPr>
          <w:rStyle w:val="a8"/>
          <w:rFonts w:cs="Arial"/>
          <w:color w:val="auto"/>
          <w:sz w:val="30"/>
          <w:szCs w:val="30"/>
          <w:u w:val="none"/>
        </w:rPr>
      </w:pPr>
      <w:r w:rsidRPr="002127DF">
        <w:rPr>
          <w:rStyle w:val="a8"/>
          <w:rFonts w:cs="Arial" w:hint="eastAsia"/>
          <w:color w:val="auto"/>
          <w:sz w:val="30"/>
          <w:szCs w:val="30"/>
          <w:u w:val="none"/>
        </w:rPr>
        <w:t>网址链接：</w:t>
      </w:r>
    </w:p>
    <w:p w:rsidR="00596D15" w:rsidRPr="002127DF" w:rsidRDefault="009D05E8" w:rsidP="00627EB3">
      <w:pPr>
        <w:ind w:firstLineChars="200" w:firstLine="480"/>
        <w:rPr>
          <w:rStyle w:val="a8"/>
          <w:rFonts w:cs="Arial"/>
          <w:sz w:val="30"/>
          <w:szCs w:val="30"/>
        </w:rPr>
      </w:pPr>
      <w:hyperlink r:id="rId15" w:history="1">
        <w:r w:rsidR="00596D15" w:rsidRPr="002127DF">
          <w:rPr>
            <w:rStyle w:val="a8"/>
            <w:rFonts w:hint="eastAsia"/>
            <w:sz w:val="28"/>
          </w:rPr>
          <w:t>https://www.esma.europa.eu/press-news/esma-news/esma-renews-binary-options-prohibition-further-three-months-2-april-2019</w:t>
        </w:r>
      </w:hyperlink>
    </w:p>
    <w:p w:rsidR="00596D15" w:rsidRPr="002127DF" w:rsidRDefault="00596D15" w:rsidP="00596D15">
      <w:pPr>
        <w:rPr>
          <w:rFonts w:eastAsia="仿宋_GB2312"/>
          <w:sz w:val="30"/>
          <w:szCs w:val="30"/>
        </w:rPr>
      </w:pPr>
    </w:p>
    <w:p w:rsidR="00596D15" w:rsidRPr="002127DF" w:rsidRDefault="006D0DC4" w:rsidP="00271F14">
      <w:pPr>
        <w:spacing w:beforeLines="100" w:afterLines="100"/>
        <w:outlineLvl w:val="1"/>
        <w:rPr>
          <w:rFonts w:eastAsia="仿宋_GB2312"/>
          <w:sz w:val="30"/>
          <w:szCs w:val="30"/>
        </w:rPr>
      </w:pPr>
      <w:r w:rsidRPr="002127DF">
        <w:rPr>
          <w:rFonts w:eastAsia="黑体" w:hint="eastAsia"/>
          <w:b/>
          <w:sz w:val="30"/>
          <w:szCs w:val="30"/>
        </w:rPr>
        <w:t>ESMA</w:t>
      </w:r>
      <w:r w:rsidR="00596D15" w:rsidRPr="002127DF">
        <w:rPr>
          <w:rFonts w:eastAsia="黑体" w:hAnsi="黑体" w:hint="eastAsia"/>
          <w:b/>
          <w:sz w:val="30"/>
          <w:szCs w:val="30"/>
        </w:rPr>
        <w:t>：发布</w:t>
      </w:r>
      <w:r w:rsidR="00596D15" w:rsidRPr="002127DF">
        <w:rPr>
          <w:rFonts w:eastAsia="黑体" w:hint="eastAsia"/>
          <w:b/>
          <w:sz w:val="30"/>
          <w:szCs w:val="30"/>
        </w:rPr>
        <w:t>2019</w:t>
      </w:r>
      <w:r w:rsidR="00596D15" w:rsidRPr="002127DF">
        <w:rPr>
          <w:rFonts w:eastAsia="黑体" w:hAnsi="黑体" w:hint="eastAsia"/>
          <w:b/>
          <w:sz w:val="30"/>
          <w:szCs w:val="30"/>
        </w:rPr>
        <w:t>年风险评估工作计划，持续提升投资者保护水平</w:t>
      </w:r>
    </w:p>
    <w:p w:rsidR="00596D15" w:rsidRPr="002127DF" w:rsidRDefault="00596D15" w:rsidP="00596D15">
      <w:pPr>
        <w:ind w:firstLineChars="200" w:firstLine="600"/>
        <w:rPr>
          <w:rFonts w:eastAsia="仿宋_GB2312"/>
          <w:sz w:val="30"/>
          <w:szCs w:val="30"/>
        </w:rPr>
      </w:pPr>
      <w:r w:rsidRPr="002127DF">
        <w:rPr>
          <w:rFonts w:eastAsia="仿宋_GB2312" w:hint="eastAsia"/>
          <w:sz w:val="30"/>
          <w:szCs w:val="30"/>
        </w:rPr>
        <w:t>ESMA</w:t>
      </w:r>
      <w:r w:rsidRPr="002127DF">
        <w:rPr>
          <w:rFonts w:eastAsia="仿宋_GB2312" w:hint="eastAsia"/>
          <w:sz w:val="30"/>
          <w:szCs w:val="30"/>
        </w:rPr>
        <w:t>于</w:t>
      </w:r>
      <w:r w:rsidRPr="002127DF">
        <w:rPr>
          <w:rFonts w:eastAsia="仿宋_GB2312" w:hint="eastAsia"/>
          <w:sz w:val="30"/>
          <w:szCs w:val="30"/>
        </w:rPr>
        <w:t>2019</w:t>
      </w:r>
      <w:r w:rsidRPr="002127DF">
        <w:rPr>
          <w:rFonts w:eastAsia="仿宋_GB2312" w:hint="eastAsia"/>
          <w:sz w:val="30"/>
          <w:szCs w:val="30"/>
        </w:rPr>
        <w:t>年</w:t>
      </w:r>
      <w:r w:rsidRPr="002127DF">
        <w:rPr>
          <w:rFonts w:eastAsia="仿宋_GB2312" w:hint="eastAsia"/>
          <w:sz w:val="30"/>
          <w:szCs w:val="30"/>
        </w:rPr>
        <w:t>2</w:t>
      </w:r>
      <w:r w:rsidRPr="002127DF">
        <w:rPr>
          <w:rFonts w:eastAsia="仿宋_GB2312" w:hint="eastAsia"/>
          <w:sz w:val="30"/>
          <w:szCs w:val="30"/>
        </w:rPr>
        <w:t>月</w:t>
      </w:r>
      <w:r w:rsidRPr="002127DF">
        <w:rPr>
          <w:rFonts w:eastAsia="仿宋_GB2312" w:hint="eastAsia"/>
          <w:sz w:val="30"/>
          <w:szCs w:val="30"/>
        </w:rPr>
        <w:t>7</w:t>
      </w:r>
      <w:r w:rsidR="00271F14">
        <w:rPr>
          <w:rFonts w:eastAsia="仿宋_GB2312" w:hint="eastAsia"/>
          <w:sz w:val="30"/>
          <w:szCs w:val="30"/>
        </w:rPr>
        <w:t>日发布了</w:t>
      </w:r>
      <w:r w:rsidRPr="002127DF">
        <w:rPr>
          <w:rFonts w:eastAsia="仿宋_GB2312" w:hint="eastAsia"/>
          <w:sz w:val="30"/>
          <w:szCs w:val="30"/>
        </w:rPr>
        <w:t>风险评估工作计划，阐述</w:t>
      </w:r>
      <w:r w:rsidRPr="002127DF">
        <w:rPr>
          <w:rFonts w:eastAsia="仿宋_GB2312" w:hint="eastAsia"/>
          <w:sz w:val="30"/>
          <w:szCs w:val="30"/>
        </w:rPr>
        <w:t>ESMA</w:t>
      </w:r>
      <w:r w:rsidRPr="002127DF">
        <w:rPr>
          <w:rFonts w:eastAsia="仿宋_GB2312" w:hint="eastAsia"/>
          <w:sz w:val="30"/>
          <w:szCs w:val="30"/>
        </w:rPr>
        <w:t>将在</w:t>
      </w:r>
      <w:r w:rsidRPr="002127DF">
        <w:rPr>
          <w:rFonts w:eastAsia="仿宋_GB2312" w:hint="eastAsia"/>
          <w:sz w:val="30"/>
          <w:szCs w:val="30"/>
        </w:rPr>
        <w:t>2019</w:t>
      </w:r>
      <w:r w:rsidRPr="002127DF">
        <w:rPr>
          <w:rFonts w:eastAsia="仿宋_GB2312" w:hint="eastAsia"/>
          <w:sz w:val="30"/>
          <w:szCs w:val="30"/>
        </w:rPr>
        <w:t>年开展的分析、研究、数据和统计活动。</w:t>
      </w:r>
    </w:p>
    <w:p w:rsidR="00596D15" w:rsidRPr="002127DF" w:rsidRDefault="00596D15" w:rsidP="00596D15">
      <w:pPr>
        <w:ind w:firstLineChars="200" w:firstLine="600"/>
        <w:jc w:val="both"/>
        <w:rPr>
          <w:rFonts w:eastAsia="仿宋_GB2312"/>
          <w:sz w:val="30"/>
          <w:szCs w:val="30"/>
        </w:rPr>
      </w:pPr>
      <w:r w:rsidRPr="002127DF">
        <w:rPr>
          <w:rFonts w:eastAsia="仿宋_GB2312" w:hint="eastAsia"/>
          <w:sz w:val="30"/>
          <w:szCs w:val="30"/>
        </w:rPr>
        <w:t>ESMA2019</w:t>
      </w:r>
      <w:r w:rsidRPr="002127DF">
        <w:rPr>
          <w:rFonts w:eastAsia="仿宋_GB2312" w:hint="eastAsia"/>
          <w:sz w:val="30"/>
          <w:szCs w:val="30"/>
        </w:rPr>
        <w:t>年风险评估议程的重点是进一步开发</w:t>
      </w:r>
      <w:r w:rsidRPr="002127DF">
        <w:rPr>
          <w:rFonts w:eastAsia="仿宋_GB2312" w:hint="eastAsia"/>
          <w:sz w:val="30"/>
          <w:szCs w:val="30"/>
        </w:rPr>
        <w:t>ESMA</w:t>
      </w:r>
      <w:r w:rsidRPr="002127DF">
        <w:rPr>
          <w:rFonts w:eastAsia="仿宋_GB2312" w:hint="eastAsia"/>
          <w:sz w:val="30"/>
          <w:szCs w:val="30"/>
        </w:rPr>
        <w:t>的专有数据源及其分析利用。一是市场数据：随着</w:t>
      </w:r>
      <w:bookmarkStart w:id="10" w:name="OLE_LINK12"/>
      <w:bookmarkStart w:id="11" w:name="OLE_LINK13"/>
      <w:r w:rsidRPr="002127DF">
        <w:rPr>
          <w:rFonts w:eastAsia="仿宋_GB2312" w:hint="eastAsia"/>
          <w:sz w:val="30"/>
          <w:szCs w:val="30"/>
        </w:rPr>
        <w:t>另类投资基金经理指令（</w:t>
      </w:r>
      <w:r w:rsidRPr="002127DF">
        <w:rPr>
          <w:rFonts w:eastAsia="仿宋_GB2312" w:hint="eastAsia"/>
          <w:sz w:val="30"/>
          <w:szCs w:val="30"/>
        </w:rPr>
        <w:t>AIFMD</w:t>
      </w:r>
      <w:bookmarkEnd w:id="10"/>
      <w:bookmarkEnd w:id="11"/>
      <w:r w:rsidRPr="002127DF">
        <w:rPr>
          <w:rFonts w:eastAsia="仿宋_GB2312" w:hint="eastAsia"/>
          <w:sz w:val="30"/>
          <w:szCs w:val="30"/>
        </w:rPr>
        <w:t>）、</w:t>
      </w:r>
      <w:bookmarkStart w:id="12" w:name="OLE_LINK23"/>
      <w:bookmarkStart w:id="13" w:name="OLE_LINK24"/>
      <w:bookmarkStart w:id="14" w:name="OLE_LINK14"/>
      <w:bookmarkStart w:id="15" w:name="OLE_LINK15"/>
      <w:r w:rsidRPr="002127DF">
        <w:rPr>
          <w:rFonts w:eastAsia="仿宋_GB2312" w:hint="eastAsia"/>
          <w:sz w:val="30"/>
          <w:szCs w:val="30"/>
        </w:rPr>
        <w:t>金融工具市场指令</w:t>
      </w:r>
      <w:bookmarkEnd w:id="12"/>
      <w:bookmarkEnd w:id="13"/>
      <w:r w:rsidRPr="002127DF">
        <w:rPr>
          <w:rFonts w:eastAsia="仿宋_GB2312" w:hint="eastAsia"/>
          <w:sz w:val="30"/>
          <w:szCs w:val="30"/>
        </w:rPr>
        <w:t>II</w:t>
      </w:r>
      <w:r w:rsidRPr="002127DF">
        <w:rPr>
          <w:rFonts w:eastAsia="仿宋_GB2312" w:hint="eastAsia"/>
          <w:sz w:val="30"/>
          <w:szCs w:val="30"/>
        </w:rPr>
        <w:t>（</w:t>
      </w:r>
      <w:proofErr w:type="spellStart"/>
      <w:r w:rsidRPr="002127DF">
        <w:rPr>
          <w:rFonts w:eastAsia="仿宋_GB2312" w:hint="eastAsia"/>
          <w:sz w:val="30"/>
          <w:szCs w:val="30"/>
        </w:rPr>
        <w:t>MiFID</w:t>
      </w:r>
      <w:bookmarkEnd w:id="14"/>
      <w:bookmarkEnd w:id="15"/>
      <w:proofErr w:type="spellEnd"/>
      <w:r w:rsidRPr="002127DF">
        <w:rPr>
          <w:rFonts w:eastAsia="仿宋_GB2312" w:hint="eastAsia"/>
          <w:sz w:val="30"/>
          <w:szCs w:val="30"/>
        </w:rPr>
        <w:t xml:space="preserve"> II</w:t>
      </w:r>
      <w:r w:rsidRPr="002127DF">
        <w:rPr>
          <w:rFonts w:eastAsia="仿宋_GB2312" w:hint="eastAsia"/>
          <w:sz w:val="30"/>
          <w:szCs w:val="30"/>
        </w:rPr>
        <w:t>）、</w:t>
      </w:r>
      <w:bookmarkStart w:id="16" w:name="OLE_LINK16"/>
      <w:bookmarkStart w:id="17" w:name="OLE_LINK17"/>
      <w:bookmarkStart w:id="18" w:name="OLE_LINK18"/>
      <w:r w:rsidRPr="002127DF">
        <w:rPr>
          <w:rFonts w:eastAsia="仿宋_GB2312" w:hint="eastAsia"/>
          <w:sz w:val="30"/>
          <w:szCs w:val="30"/>
        </w:rPr>
        <w:t>欧洲市场基础设施监管指令（</w:t>
      </w:r>
      <w:r w:rsidRPr="002127DF">
        <w:rPr>
          <w:rFonts w:eastAsia="仿宋_GB2312" w:hint="eastAsia"/>
          <w:sz w:val="30"/>
          <w:szCs w:val="30"/>
        </w:rPr>
        <w:t>EMIR</w:t>
      </w:r>
      <w:bookmarkEnd w:id="16"/>
      <w:bookmarkEnd w:id="17"/>
      <w:bookmarkEnd w:id="18"/>
      <w:r w:rsidRPr="002127DF">
        <w:rPr>
          <w:rFonts w:eastAsia="仿宋_GB2312" w:hint="eastAsia"/>
          <w:sz w:val="30"/>
          <w:szCs w:val="30"/>
        </w:rPr>
        <w:t>）授权和其他授权收集的市场数据</w:t>
      </w:r>
      <w:r w:rsidR="00271F14">
        <w:rPr>
          <w:rFonts w:eastAsia="仿宋_GB2312" w:hint="eastAsia"/>
          <w:sz w:val="30"/>
          <w:szCs w:val="30"/>
        </w:rPr>
        <w:t>的</w:t>
      </w:r>
      <w:r w:rsidRPr="002127DF">
        <w:rPr>
          <w:rFonts w:eastAsia="仿宋_GB2312" w:hint="eastAsia"/>
          <w:sz w:val="30"/>
          <w:szCs w:val="30"/>
        </w:rPr>
        <w:t>公开，</w:t>
      </w:r>
      <w:r w:rsidRPr="002127DF">
        <w:rPr>
          <w:rFonts w:eastAsia="仿宋_GB2312" w:hint="eastAsia"/>
          <w:sz w:val="30"/>
          <w:szCs w:val="30"/>
        </w:rPr>
        <w:t>ESMA</w:t>
      </w:r>
      <w:r w:rsidRPr="002127DF">
        <w:rPr>
          <w:rFonts w:eastAsia="仿宋_GB2312" w:hint="eastAsia"/>
          <w:sz w:val="30"/>
          <w:szCs w:val="30"/>
        </w:rPr>
        <w:t>与</w:t>
      </w:r>
      <w:bookmarkStart w:id="19" w:name="OLE_LINK19"/>
      <w:bookmarkStart w:id="20" w:name="OLE_LINK20"/>
      <w:r w:rsidRPr="002127DF">
        <w:rPr>
          <w:rFonts w:eastAsia="仿宋_GB2312" w:hint="eastAsia"/>
          <w:sz w:val="30"/>
          <w:szCs w:val="30"/>
        </w:rPr>
        <w:t>国家主管部门（</w:t>
      </w:r>
      <w:r w:rsidRPr="002127DF">
        <w:rPr>
          <w:rFonts w:eastAsia="仿宋_GB2312" w:hint="eastAsia"/>
          <w:sz w:val="30"/>
          <w:szCs w:val="30"/>
        </w:rPr>
        <w:t>NCAs</w:t>
      </w:r>
      <w:bookmarkEnd w:id="19"/>
      <w:bookmarkEnd w:id="20"/>
      <w:r w:rsidRPr="002127DF">
        <w:rPr>
          <w:rFonts w:eastAsia="仿宋_GB2312" w:hint="eastAsia"/>
          <w:sz w:val="30"/>
          <w:szCs w:val="30"/>
        </w:rPr>
        <w:t>）合作，确定其处理、管理和分析的框架。二是风险监控：</w:t>
      </w:r>
      <w:r w:rsidRPr="002127DF">
        <w:rPr>
          <w:rFonts w:eastAsia="仿宋_GB2312" w:hint="eastAsia"/>
          <w:sz w:val="30"/>
          <w:szCs w:val="30"/>
        </w:rPr>
        <w:t>ESMA</w:t>
      </w:r>
      <w:r w:rsidRPr="002127DF">
        <w:rPr>
          <w:rFonts w:eastAsia="仿宋_GB2312" w:hint="eastAsia"/>
          <w:sz w:val="30"/>
          <w:szCs w:val="30"/>
        </w:rPr>
        <w:t>将增强其</w:t>
      </w:r>
      <w:r w:rsidR="000B2A9E">
        <w:rPr>
          <w:rFonts w:eastAsia="仿宋_GB2312" w:hint="eastAsia"/>
          <w:sz w:val="30"/>
          <w:szCs w:val="30"/>
        </w:rPr>
        <w:t>风险监控能力，根据新的专有数据生成市场统计数据以及风险指标</w:t>
      </w:r>
      <w:r w:rsidRPr="002127DF">
        <w:rPr>
          <w:rFonts w:eastAsia="仿宋_GB2312" w:hint="eastAsia"/>
          <w:sz w:val="30"/>
          <w:szCs w:val="30"/>
        </w:rPr>
        <w:t>。三是分</w:t>
      </w:r>
      <w:r w:rsidRPr="002127DF">
        <w:rPr>
          <w:rFonts w:eastAsia="仿宋_GB2312" w:hint="eastAsia"/>
          <w:sz w:val="30"/>
          <w:szCs w:val="30"/>
        </w:rPr>
        <w:lastRenderedPageBreak/>
        <w:t>析：</w:t>
      </w:r>
      <w:r w:rsidRPr="002127DF">
        <w:rPr>
          <w:rFonts w:eastAsia="仿宋_GB2312" w:hint="eastAsia"/>
          <w:sz w:val="30"/>
          <w:szCs w:val="30"/>
        </w:rPr>
        <w:t>ESMA</w:t>
      </w:r>
      <w:r w:rsidRPr="002127DF">
        <w:rPr>
          <w:rFonts w:eastAsia="仿宋_GB2312" w:hint="eastAsia"/>
          <w:sz w:val="30"/>
          <w:szCs w:val="30"/>
        </w:rPr>
        <w:t>将继续围绕重要课题进行深入分析，包括市场和基金流动性、基金杠杆以及在市场基础设施和投资建议领域创新的影响。</w:t>
      </w:r>
    </w:p>
    <w:p w:rsidR="00596D15" w:rsidRPr="002127DF" w:rsidRDefault="00596D15" w:rsidP="00596D15">
      <w:pPr>
        <w:ind w:firstLineChars="200" w:firstLine="600"/>
        <w:jc w:val="both"/>
        <w:rPr>
          <w:rFonts w:eastAsia="仿宋_GB2312"/>
          <w:sz w:val="30"/>
          <w:szCs w:val="30"/>
        </w:rPr>
      </w:pPr>
      <w:r w:rsidRPr="002127DF">
        <w:rPr>
          <w:rFonts w:eastAsia="仿宋_GB2312" w:hint="eastAsia"/>
          <w:sz w:val="30"/>
          <w:szCs w:val="30"/>
        </w:rPr>
        <w:t>2019</w:t>
      </w:r>
      <w:r w:rsidRPr="002127DF">
        <w:rPr>
          <w:rFonts w:eastAsia="仿宋_GB2312" w:hint="eastAsia"/>
          <w:sz w:val="30"/>
          <w:szCs w:val="30"/>
        </w:rPr>
        <w:t>年风险评估工作计划是</w:t>
      </w:r>
      <w:r w:rsidRPr="002127DF">
        <w:rPr>
          <w:rFonts w:eastAsia="仿宋_GB2312" w:hint="eastAsia"/>
          <w:sz w:val="30"/>
          <w:szCs w:val="30"/>
        </w:rPr>
        <w:t>ESMA</w:t>
      </w:r>
      <w:r w:rsidRPr="002127DF">
        <w:rPr>
          <w:rFonts w:eastAsia="仿宋_GB2312" w:hint="eastAsia"/>
          <w:sz w:val="30"/>
          <w:szCs w:val="30"/>
        </w:rPr>
        <w:t>的活动报告文件之一，其他活动报告包括了监管工作计划、监督工作计划和监督融合工作计划。此外，</w:t>
      </w:r>
      <w:r w:rsidRPr="002127DF">
        <w:rPr>
          <w:rFonts w:eastAsia="仿宋_GB2312" w:hint="eastAsia"/>
          <w:sz w:val="30"/>
          <w:szCs w:val="30"/>
        </w:rPr>
        <w:t>ESMA</w:t>
      </w:r>
      <w:r w:rsidR="008447DB">
        <w:rPr>
          <w:rFonts w:eastAsia="仿宋_GB2312" w:hint="eastAsia"/>
          <w:sz w:val="30"/>
          <w:szCs w:val="30"/>
        </w:rPr>
        <w:t>正在为对英国脱欧时可能需要进行的分析和统计框架的</w:t>
      </w:r>
      <w:proofErr w:type="gramStart"/>
      <w:r w:rsidR="008447DB">
        <w:rPr>
          <w:rFonts w:eastAsia="仿宋_GB2312" w:hint="eastAsia"/>
          <w:sz w:val="30"/>
          <w:szCs w:val="30"/>
        </w:rPr>
        <w:t>变更</w:t>
      </w:r>
      <w:r w:rsidR="00E2460E">
        <w:rPr>
          <w:rFonts w:eastAsia="仿宋_GB2312" w:hint="eastAsia"/>
          <w:sz w:val="30"/>
          <w:szCs w:val="30"/>
        </w:rPr>
        <w:t>做</w:t>
      </w:r>
      <w:proofErr w:type="gramEnd"/>
      <w:r w:rsidR="00E2460E">
        <w:rPr>
          <w:rFonts w:eastAsia="仿宋_GB2312" w:hint="eastAsia"/>
          <w:sz w:val="30"/>
          <w:szCs w:val="30"/>
        </w:rPr>
        <w:t>准备</w:t>
      </w:r>
      <w:r w:rsidRPr="002127DF">
        <w:rPr>
          <w:rFonts w:eastAsia="仿宋_GB2312" w:hint="eastAsia"/>
          <w:sz w:val="30"/>
          <w:szCs w:val="30"/>
        </w:rPr>
        <w:t>。</w:t>
      </w:r>
    </w:p>
    <w:p w:rsidR="00627EB3" w:rsidRDefault="00596D15" w:rsidP="00627EB3">
      <w:pPr>
        <w:ind w:firstLineChars="200" w:firstLine="600"/>
        <w:rPr>
          <w:rStyle w:val="a8"/>
          <w:rFonts w:cs="Arial"/>
          <w:color w:val="000000" w:themeColor="text1"/>
          <w:sz w:val="30"/>
          <w:szCs w:val="30"/>
          <w:u w:val="none"/>
        </w:rPr>
      </w:pPr>
      <w:r w:rsidRPr="002127DF">
        <w:rPr>
          <w:rStyle w:val="a8"/>
          <w:rFonts w:cs="Arial" w:hint="eastAsia"/>
          <w:color w:val="000000" w:themeColor="text1"/>
          <w:sz w:val="30"/>
          <w:szCs w:val="30"/>
          <w:u w:val="none"/>
        </w:rPr>
        <w:t>网址链接：</w:t>
      </w:r>
    </w:p>
    <w:p w:rsidR="00596D15" w:rsidRPr="00627EB3" w:rsidRDefault="009D05E8" w:rsidP="00627EB3">
      <w:pPr>
        <w:ind w:firstLineChars="200" w:firstLine="480"/>
        <w:rPr>
          <w:rStyle w:val="a8"/>
          <w:rFonts w:cs="Arial"/>
          <w:color w:val="000000" w:themeColor="text1"/>
          <w:sz w:val="30"/>
          <w:szCs w:val="30"/>
          <w:u w:val="none"/>
        </w:rPr>
      </w:pPr>
      <w:hyperlink r:id="rId16" w:history="1">
        <w:r w:rsidR="00596D15" w:rsidRPr="002127DF">
          <w:rPr>
            <w:rStyle w:val="a8"/>
            <w:rFonts w:hint="eastAsia"/>
            <w:sz w:val="30"/>
            <w:szCs w:val="30"/>
          </w:rPr>
          <w:t>https://www.esma.europa.eu/press-news/esma-news/esma-publishes-its-2019-risk-assessment-work-programme</w:t>
        </w:r>
      </w:hyperlink>
    </w:p>
    <w:p w:rsidR="00596D15" w:rsidRPr="002127DF" w:rsidRDefault="00596D15" w:rsidP="00596D15">
      <w:pPr>
        <w:rPr>
          <w:rStyle w:val="a8"/>
          <w:rFonts w:eastAsia="楷体"/>
          <w:sz w:val="28"/>
        </w:rPr>
      </w:pPr>
    </w:p>
    <w:p w:rsidR="00596D15" w:rsidRPr="002127DF" w:rsidRDefault="006D0DC4" w:rsidP="00271F14">
      <w:pPr>
        <w:spacing w:beforeLines="100" w:afterLines="100"/>
        <w:outlineLvl w:val="1"/>
        <w:rPr>
          <w:rFonts w:eastAsia="黑体"/>
          <w:b/>
          <w:sz w:val="30"/>
          <w:szCs w:val="30"/>
        </w:rPr>
      </w:pPr>
      <w:r w:rsidRPr="002127DF">
        <w:rPr>
          <w:rFonts w:eastAsia="黑体" w:hint="eastAsia"/>
          <w:b/>
          <w:sz w:val="30"/>
          <w:szCs w:val="30"/>
        </w:rPr>
        <w:t>ESMA</w:t>
      </w:r>
      <w:r w:rsidR="00596D15" w:rsidRPr="002127DF">
        <w:rPr>
          <w:rFonts w:eastAsia="黑体" w:hAnsi="黑体" w:hint="eastAsia"/>
          <w:b/>
          <w:sz w:val="30"/>
          <w:szCs w:val="30"/>
        </w:rPr>
        <w:t>：发布关于零售投资产品成本和表现的年度统计报告，关注中小投资者保护</w:t>
      </w:r>
    </w:p>
    <w:p w:rsidR="00596D15" w:rsidRPr="002127DF" w:rsidRDefault="00596D15" w:rsidP="00596D15">
      <w:pPr>
        <w:ind w:firstLineChars="200" w:firstLine="600"/>
        <w:jc w:val="both"/>
        <w:rPr>
          <w:rFonts w:eastAsia="仿宋_GB2312"/>
          <w:sz w:val="30"/>
          <w:szCs w:val="30"/>
        </w:rPr>
      </w:pPr>
      <w:r w:rsidRPr="002127DF">
        <w:rPr>
          <w:rFonts w:eastAsia="仿宋_GB2312" w:hint="eastAsia"/>
          <w:sz w:val="30"/>
          <w:szCs w:val="30"/>
        </w:rPr>
        <w:t>ESMA</w:t>
      </w:r>
      <w:r w:rsidRPr="002127DF">
        <w:rPr>
          <w:rFonts w:eastAsia="仿宋_GB2312" w:hint="eastAsia"/>
          <w:sz w:val="30"/>
          <w:szCs w:val="30"/>
        </w:rPr>
        <w:t>于</w:t>
      </w:r>
      <w:r w:rsidRPr="002127DF">
        <w:rPr>
          <w:rFonts w:eastAsia="仿宋_GB2312" w:hint="eastAsia"/>
          <w:sz w:val="30"/>
          <w:szCs w:val="30"/>
        </w:rPr>
        <w:t>2019</w:t>
      </w:r>
      <w:r w:rsidRPr="002127DF">
        <w:rPr>
          <w:rFonts w:eastAsia="仿宋_GB2312" w:hint="eastAsia"/>
          <w:sz w:val="30"/>
          <w:szCs w:val="30"/>
        </w:rPr>
        <w:t>年</w:t>
      </w:r>
      <w:r w:rsidRPr="002127DF">
        <w:rPr>
          <w:rFonts w:eastAsia="仿宋_GB2312" w:hint="eastAsia"/>
          <w:sz w:val="30"/>
          <w:szCs w:val="30"/>
        </w:rPr>
        <w:t>1</w:t>
      </w:r>
      <w:r w:rsidRPr="002127DF">
        <w:rPr>
          <w:rFonts w:eastAsia="仿宋_GB2312" w:hint="eastAsia"/>
          <w:sz w:val="30"/>
          <w:szCs w:val="30"/>
        </w:rPr>
        <w:t>月</w:t>
      </w:r>
      <w:r w:rsidRPr="002127DF">
        <w:rPr>
          <w:rFonts w:eastAsia="仿宋_GB2312" w:hint="eastAsia"/>
          <w:sz w:val="30"/>
          <w:szCs w:val="30"/>
        </w:rPr>
        <w:t>10</w:t>
      </w:r>
      <w:r w:rsidRPr="002127DF">
        <w:rPr>
          <w:rFonts w:eastAsia="仿宋_GB2312" w:hint="eastAsia"/>
          <w:sz w:val="30"/>
          <w:szCs w:val="30"/>
        </w:rPr>
        <w:t>日发布了关于零售投资产品成本和表现的第一份年度统计报告。该报告包括了可转让证券集体投资（</w:t>
      </w:r>
      <w:r w:rsidRPr="002127DF">
        <w:rPr>
          <w:rFonts w:eastAsia="仿宋_GB2312" w:hint="eastAsia"/>
          <w:sz w:val="30"/>
          <w:szCs w:val="30"/>
        </w:rPr>
        <w:t>UCITS</w:t>
      </w:r>
      <w:r w:rsidRPr="002127DF">
        <w:rPr>
          <w:rFonts w:eastAsia="仿宋_GB2312" w:hint="eastAsia"/>
          <w:sz w:val="30"/>
          <w:szCs w:val="30"/>
        </w:rPr>
        <w:t>），向中小投资者</w:t>
      </w:r>
      <w:r w:rsidR="002709A0" w:rsidRPr="002127DF">
        <w:rPr>
          <w:rFonts w:eastAsia="仿宋_GB2312" w:hint="eastAsia"/>
          <w:sz w:val="30"/>
          <w:szCs w:val="30"/>
        </w:rPr>
        <w:t>出售的另类投资基金的承诺</w:t>
      </w:r>
      <w:r w:rsidRPr="002127DF">
        <w:rPr>
          <w:rFonts w:eastAsia="仿宋_GB2312" w:hint="eastAsia"/>
          <w:sz w:val="30"/>
          <w:szCs w:val="30"/>
        </w:rPr>
        <w:t>（零售</w:t>
      </w:r>
      <w:r w:rsidRPr="002127DF">
        <w:rPr>
          <w:rFonts w:eastAsia="仿宋_GB2312"/>
          <w:sz w:val="30"/>
          <w:szCs w:val="30"/>
        </w:rPr>
        <w:t>AIF</w:t>
      </w:r>
      <w:r w:rsidR="00410FF1" w:rsidRPr="002127DF">
        <w:rPr>
          <w:rFonts w:eastAsia="仿宋_GB2312" w:hint="eastAsia"/>
          <w:sz w:val="30"/>
          <w:szCs w:val="30"/>
        </w:rPr>
        <w:t>s</w:t>
      </w:r>
      <w:r w:rsidRPr="002127DF">
        <w:rPr>
          <w:rFonts w:eastAsia="仿宋_GB2312"/>
          <w:sz w:val="30"/>
          <w:szCs w:val="30"/>
        </w:rPr>
        <w:t>）和结构性零售产品（</w:t>
      </w:r>
      <w:r w:rsidRPr="002127DF">
        <w:rPr>
          <w:rFonts w:eastAsia="仿宋_GB2312"/>
          <w:sz w:val="30"/>
          <w:szCs w:val="30"/>
        </w:rPr>
        <w:t>SRP</w:t>
      </w:r>
      <w:r w:rsidRPr="002127DF">
        <w:rPr>
          <w:rFonts w:eastAsia="仿宋_GB2312"/>
          <w:sz w:val="30"/>
          <w:szCs w:val="30"/>
        </w:rPr>
        <w:t>）</w:t>
      </w:r>
      <w:r w:rsidRPr="002127DF">
        <w:rPr>
          <w:rFonts w:eastAsia="仿宋_GB2312" w:hint="eastAsia"/>
          <w:sz w:val="30"/>
          <w:szCs w:val="30"/>
        </w:rPr>
        <w:t>。</w:t>
      </w:r>
    </w:p>
    <w:p w:rsidR="00596D15" w:rsidRPr="002127DF" w:rsidRDefault="00596D15" w:rsidP="00596D15">
      <w:pPr>
        <w:ind w:firstLineChars="200" w:firstLine="600"/>
        <w:jc w:val="both"/>
        <w:rPr>
          <w:rFonts w:eastAsia="仿宋_GB2312"/>
          <w:sz w:val="30"/>
          <w:szCs w:val="30"/>
        </w:rPr>
      </w:pPr>
      <w:r w:rsidRPr="002127DF">
        <w:rPr>
          <w:rFonts w:eastAsia="仿宋_GB2312" w:hint="eastAsia"/>
          <w:sz w:val="30"/>
          <w:szCs w:val="30"/>
        </w:rPr>
        <w:t>统计报告补充了</w:t>
      </w:r>
      <w:r w:rsidRPr="002127DF">
        <w:rPr>
          <w:rFonts w:eastAsia="仿宋_GB2312" w:hint="eastAsia"/>
          <w:sz w:val="30"/>
          <w:szCs w:val="30"/>
        </w:rPr>
        <w:t>ESMA</w:t>
      </w:r>
      <w:r w:rsidRPr="002127DF">
        <w:rPr>
          <w:rFonts w:eastAsia="仿宋_GB2312" w:hint="eastAsia"/>
          <w:sz w:val="30"/>
          <w:szCs w:val="30"/>
        </w:rPr>
        <w:t>的风险评估、监管融合和投资者保护工作，并为欧盟委员会在资本市场联盟行动计划下的投资产品成本和绩效项目提供相关支持。</w:t>
      </w:r>
    </w:p>
    <w:p w:rsidR="00596D15" w:rsidRPr="002127DF" w:rsidRDefault="00596D15" w:rsidP="00596D15">
      <w:pPr>
        <w:ind w:firstLineChars="200" w:firstLine="600"/>
        <w:jc w:val="both"/>
        <w:rPr>
          <w:rFonts w:eastAsia="仿宋_GB2312"/>
          <w:sz w:val="30"/>
          <w:szCs w:val="30"/>
        </w:rPr>
      </w:pPr>
      <w:r w:rsidRPr="002127DF">
        <w:rPr>
          <w:rFonts w:eastAsia="仿宋_GB2312" w:hint="eastAsia"/>
          <w:sz w:val="30"/>
          <w:szCs w:val="30"/>
        </w:rPr>
        <w:lastRenderedPageBreak/>
        <w:t>统计报告记录了成本对于中小投资者投资最终回报的重大影响：一是</w:t>
      </w:r>
      <w:r w:rsidRPr="002127DF">
        <w:rPr>
          <w:rFonts w:eastAsia="仿宋_GB2312" w:hint="eastAsia"/>
          <w:sz w:val="30"/>
          <w:szCs w:val="30"/>
        </w:rPr>
        <w:t>UCITS</w:t>
      </w:r>
      <w:r w:rsidR="00271F14">
        <w:rPr>
          <w:rFonts w:eastAsia="仿宋_GB2312" w:hint="eastAsia"/>
          <w:sz w:val="30"/>
          <w:szCs w:val="30"/>
        </w:rPr>
        <w:t>基金的费用加在一起平均减少四分之一的总回报，</w:t>
      </w:r>
      <w:r w:rsidRPr="002127DF">
        <w:rPr>
          <w:rFonts w:eastAsia="仿宋_GB2312" w:hint="eastAsia"/>
          <w:sz w:val="30"/>
          <w:szCs w:val="30"/>
        </w:rPr>
        <w:t>数据显示，对于</w:t>
      </w:r>
      <w:r w:rsidRPr="002127DF">
        <w:rPr>
          <w:rFonts w:eastAsia="仿宋_GB2312" w:hint="eastAsia"/>
          <w:sz w:val="30"/>
          <w:szCs w:val="30"/>
        </w:rPr>
        <w:t>UCITS</w:t>
      </w:r>
      <w:r w:rsidRPr="002127DF">
        <w:rPr>
          <w:rFonts w:eastAsia="仿宋_GB2312" w:hint="eastAsia"/>
          <w:sz w:val="30"/>
          <w:szCs w:val="30"/>
        </w:rPr>
        <w:t>来说，其总成本对业绩影响巨大，且对中小投资者的影响远高于机构投资者；二是不同产品间的成本影响差异很大，取决于产品、资产类别、基金类型；三是零售</w:t>
      </w:r>
      <w:r w:rsidRPr="002127DF">
        <w:rPr>
          <w:rFonts w:eastAsia="仿宋_GB2312" w:hint="eastAsia"/>
          <w:sz w:val="30"/>
          <w:szCs w:val="30"/>
        </w:rPr>
        <w:t>AIF</w:t>
      </w:r>
      <w:r w:rsidR="00EA0F24" w:rsidRPr="002127DF">
        <w:rPr>
          <w:rFonts w:eastAsia="仿宋_GB2312" w:hint="eastAsia"/>
          <w:sz w:val="30"/>
          <w:szCs w:val="30"/>
        </w:rPr>
        <w:t>s</w:t>
      </w:r>
      <w:r w:rsidRPr="002127DF">
        <w:rPr>
          <w:rFonts w:eastAsia="仿宋_GB2312" w:hint="eastAsia"/>
          <w:sz w:val="30"/>
          <w:szCs w:val="30"/>
        </w:rPr>
        <w:t>和</w:t>
      </w:r>
      <w:r w:rsidRPr="002127DF">
        <w:rPr>
          <w:rFonts w:eastAsia="仿宋_GB2312" w:hint="eastAsia"/>
          <w:sz w:val="30"/>
          <w:szCs w:val="30"/>
        </w:rPr>
        <w:t>SRP</w:t>
      </w:r>
      <w:r w:rsidRPr="002127DF">
        <w:rPr>
          <w:rFonts w:eastAsia="仿宋_GB2312" w:hint="eastAsia"/>
          <w:sz w:val="30"/>
          <w:szCs w:val="30"/>
        </w:rPr>
        <w:t>的市场透明度十分有限。</w:t>
      </w:r>
    </w:p>
    <w:p w:rsidR="00596D15" w:rsidRPr="002127DF" w:rsidRDefault="00596D15" w:rsidP="00596D15">
      <w:pPr>
        <w:ind w:firstLineChars="200" w:firstLine="600"/>
        <w:jc w:val="both"/>
        <w:rPr>
          <w:rFonts w:eastAsia="仿宋_GB2312"/>
          <w:sz w:val="30"/>
          <w:szCs w:val="30"/>
        </w:rPr>
      </w:pPr>
      <w:r w:rsidRPr="002127DF">
        <w:rPr>
          <w:rFonts w:eastAsia="仿宋_GB2312" w:hint="eastAsia"/>
          <w:sz w:val="30"/>
          <w:szCs w:val="30"/>
        </w:rPr>
        <w:t>统计报告还发现，</w:t>
      </w:r>
      <w:r w:rsidR="00271F14">
        <w:rPr>
          <w:rFonts w:eastAsia="仿宋_GB2312" w:hint="eastAsia"/>
          <w:sz w:val="30"/>
          <w:szCs w:val="30"/>
        </w:rPr>
        <w:t>ESMA</w:t>
      </w:r>
      <w:r w:rsidRPr="002127DF">
        <w:rPr>
          <w:rFonts w:eastAsia="仿宋_GB2312" w:hint="eastAsia"/>
          <w:sz w:val="30"/>
          <w:szCs w:val="30"/>
        </w:rPr>
        <w:t>各成员国的成本和总绩效差异显著。最后，</w:t>
      </w:r>
      <w:r w:rsidR="00271F14">
        <w:rPr>
          <w:rFonts w:eastAsia="仿宋_GB2312" w:hint="eastAsia"/>
          <w:sz w:val="30"/>
          <w:szCs w:val="30"/>
        </w:rPr>
        <w:t>本报告</w:t>
      </w:r>
      <w:r w:rsidRPr="002127DF">
        <w:rPr>
          <w:rFonts w:eastAsia="仿宋_GB2312" w:hint="eastAsia"/>
          <w:sz w:val="30"/>
          <w:szCs w:val="30"/>
        </w:rPr>
        <w:t>强调了缺乏可获取和可用的成本和绩效数据，尤其是零售</w:t>
      </w:r>
      <w:r w:rsidRPr="002127DF">
        <w:rPr>
          <w:rFonts w:eastAsia="仿宋_GB2312" w:hint="eastAsia"/>
          <w:sz w:val="30"/>
          <w:szCs w:val="30"/>
        </w:rPr>
        <w:t>AIF</w:t>
      </w:r>
      <w:r w:rsidR="00894B05" w:rsidRPr="002127DF">
        <w:rPr>
          <w:rFonts w:eastAsia="仿宋_GB2312" w:hint="eastAsia"/>
          <w:sz w:val="30"/>
          <w:szCs w:val="30"/>
        </w:rPr>
        <w:t>s</w:t>
      </w:r>
      <w:r w:rsidRPr="002127DF">
        <w:rPr>
          <w:rFonts w:eastAsia="仿宋_GB2312" w:hint="eastAsia"/>
          <w:sz w:val="30"/>
          <w:szCs w:val="30"/>
        </w:rPr>
        <w:t>和</w:t>
      </w:r>
      <w:r w:rsidRPr="002127DF">
        <w:rPr>
          <w:rFonts w:eastAsia="仿宋_GB2312" w:hint="eastAsia"/>
          <w:sz w:val="30"/>
          <w:szCs w:val="30"/>
        </w:rPr>
        <w:t>SRP</w:t>
      </w:r>
      <w:r w:rsidRPr="002127DF">
        <w:rPr>
          <w:rFonts w:eastAsia="仿宋_GB2312" w:hint="eastAsia"/>
          <w:sz w:val="30"/>
          <w:szCs w:val="30"/>
        </w:rPr>
        <w:t>，对于投资者保护而言是一个重要问题。</w:t>
      </w:r>
    </w:p>
    <w:p w:rsidR="00627EB3" w:rsidRDefault="00596D15" w:rsidP="00FC0BC5">
      <w:pPr>
        <w:ind w:firstLineChars="200" w:firstLine="600"/>
        <w:rPr>
          <w:rStyle w:val="a8"/>
          <w:rFonts w:cs="Arial"/>
          <w:color w:val="000000" w:themeColor="text1"/>
          <w:sz w:val="30"/>
          <w:szCs w:val="30"/>
          <w:u w:val="none"/>
        </w:rPr>
      </w:pPr>
      <w:r w:rsidRPr="002127DF">
        <w:rPr>
          <w:rStyle w:val="a8"/>
          <w:rFonts w:cs="Arial" w:hint="eastAsia"/>
          <w:color w:val="000000" w:themeColor="text1"/>
          <w:sz w:val="30"/>
          <w:szCs w:val="30"/>
          <w:u w:val="none"/>
        </w:rPr>
        <w:t>网址链接：</w:t>
      </w:r>
    </w:p>
    <w:p w:rsidR="00596D15" w:rsidRPr="002127DF" w:rsidRDefault="009D05E8" w:rsidP="00627EB3">
      <w:pPr>
        <w:ind w:firstLineChars="200" w:firstLine="480"/>
        <w:rPr>
          <w:rStyle w:val="a8"/>
          <w:rFonts w:cs="Arial"/>
          <w:color w:val="000000" w:themeColor="text1"/>
          <w:sz w:val="30"/>
          <w:szCs w:val="30"/>
        </w:rPr>
      </w:pPr>
      <w:hyperlink r:id="rId17" w:history="1">
        <w:r w:rsidR="00596D15" w:rsidRPr="002127DF">
          <w:rPr>
            <w:rStyle w:val="a8"/>
            <w:rFonts w:hint="eastAsia"/>
            <w:sz w:val="30"/>
            <w:szCs w:val="30"/>
          </w:rPr>
          <w:t>https://www.esma.europa.eu/press-news/esma-news/esma-report-finds-investment-product-performance-highly-impacted-charges</w:t>
        </w:r>
      </w:hyperlink>
    </w:p>
    <w:p w:rsidR="00596D15" w:rsidRPr="002127DF" w:rsidRDefault="00596D15" w:rsidP="00596D15">
      <w:pPr>
        <w:rPr>
          <w:rFonts w:eastAsia="楷体"/>
          <w:color w:val="0563C1" w:themeColor="hyperlink"/>
          <w:sz w:val="28"/>
          <w:u w:val="single"/>
        </w:rPr>
      </w:pPr>
    </w:p>
    <w:p w:rsidR="00596D15" w:rsidRPr="002127DF" w:rsidRDefault="006D0DC4" w:rsidP="00271F14">
      <w:pPr>
        <w:spacing w:beforeLines="100" w:afterLines="100"/>
        <w:outlineLvl w:val="1"/>
        <w:rPr>
          <w:rFonts w:eastAsia="黑体"/>
          <w:b/>
          <w:sz w:val="30"/>
          <w:szCs w:val="30"/>
        </w:rPr>
      </w:pPr>
      <w:r w:rsidRPr="002127DF">
        <w:rPr>
          <w:rFonts w:eastAsia="黑体" w:hint="eastAsia"/>
          <w:b/>
          <w:sz w:val="30"/>
          <w:szCs w:val="30"/>
        </w:rPr>
        <w:t>ESMA</w:t>
      </w:r>
      <w:r w:rsidR="00596D15" w:rsidRPr="002127DF">
        <w:rPr>
          <w:rFonts w:eastAsia="黑体" w:hAnsi="黑体" w:hint="eastAsia"/>
          <w:b/>
          <w:sz w:val="30"/>
          <w:szCs w:val="30"/>
        </w:rPr>
        <w:t>：加密资产需要欧盟成员的共同智慧来确保对投资者的保护</w:t>
      </w:r>
    </w:p>
    <w:p w:rsidR="00596D15" w:rsidRPr="002127DF" w:rsidRDefault="00596D15" w:rsidP="00596D15">
      <w:pPr>
        <w:ind w:firstLineChars="200" w:firstLine="600"/>
        <w:jc w:val="both"/>
        <w:rPr>
          <w:rFonts w:eastAsia="仿宋_GB2312"/>
          <w:sz w:val="30"/>
          <w:szCs w:val="30"/>
        </w:rPr>
      </w:pPr>
      <w:bookmarkStart w:id="21" w:name="OLE_LINK22"/>
      <w:bookmarkStart w:id="22" w:name="OLE_LINK21"/>
      <w:r w:rsidRPr="002127DF">
        <w:rPr>
          <w:rFonts w:eastAsia="仿宋_GB2312" w:hint="eastAsia"/>
          <w:sz w:val="30"/>
          <w:szCs w:val="30"/>
        </w:rPr>
        <w:t>ESMA</w:t>
      </w:r>
      <w:bookmarkEnd w:id="21"/>
      <w:bookmarkEnd w:id="22"/>
      <w:r w:rsidRPr="002127DF">
        <w:rPr>
          <w:rFonts w:eastAsia="仿宋_GB2312" w:hint="eastAsia"/>
          <w:sz w:val="30"/>
          <w:szCs w:val="30"/>
        </w:rPr>
        <w:t>于</w:t>
      </w:r>
      <w:r w:rsidRPr="002127DF">
        <w:rPr>
          <w:rFonts w:eastAsia="仿宋_GB2312" w:hint="eastAsia"/>
          <w:sz w:val="30"/>
          <w:szCs w:val="30"/>
        </w:rPr>
        <w:t>2019</w:t>
      </w:r>
      <w:r w:rsidRPr="002127DF">
        <w:rPr>
          <w:rFonts w:eastAsia="仿宋_GB2312" w:hint="eastAsia"/>
          <w:sz w:val="30"/>
          <w:szCs w:val="30"/>
        </w:rPr>
        <w:t>年</w:t>
      </w:r>
      <w:r w:rsidRPr="002127DF">
        <w:rPr>
          <w:rFonts w:eastAsia="仿宋_GB2312" w:hint="eastAsia"/>
          <w:sz w:val="30"/>
          <w:szCs w:val="30"/>
        </w:rPr>
        <w:t>1</w:t>
      </w:r>
      <w:r w:rsidRPr="002127DF">
        <w:rPr>
          <w:rFonts w:eastAsia="仿宋_GB2312" w:hint="eastAsia"/>
          <w:sz w:val="30"/>
          <w:szCs w:val="30"/>
        </w:rPr>
        <w:t>月</w:t>
      </w:r>
      <w:r w:rsidRPr="002127DF">
        <w:rPr>
          <w:rFonts w:eastAsia="仿宋_GB2312" w:hint="eastAsia"/>
          <w:sz w:val="30"/>
          <w:szCs w:val="30"/>
        </w:rPr>
        <w:t>9</w:t>
      </w:r>
      <w:r w:rsidRPr="002127DF">
        <w:rPr>
          <w:rFonts w:eastAsia="仿宋_GB2312" w:hint="eastAsia"/>
          <w:sz w:val="30"/>
          <w:szCs w:val="30"/>
        </w:rPr>
        <w:t>日向欧盟委员会、理事会和欧盟大会提交了有关初始硬币产品和加密资产的建议，阐明了适用于作为金融工具资格的加密资产的现有欧盟规则，并提供了其在当前欧盟金融监管框架中关于相关差距和问题的立场，供欧盟决策者考虑。</w:t>
      </w:r>
    </w:p>
    <w:p w:rsidR="00596D15" w:rsidRPr="002127DF" w:rsidRDefault="00596D15" w:rsidP="00596D15">
      <w:pPr>
        <w:ind w:firstLineChars="200" w:firstLine="600"/>
        <w:jc w:val="both"/>
        <w:rPr>
          <w:rFonts w:eastAsia="仿宋_GB2312"/>
          <w:sz w:val="30"/>
          <w:szCs w:val="30"/>
        </w:rPr>
      </w:pPr>
      <w:r w:rsidRPr="002127DF">
        <w:rPr>
          <w:rFonts w:eastAsia="仿宋_GB2312" w:hint="eastAsia"/>
          <w:sz w:val="30"/>
          <w:szCs w:val="30"/>
        </w:rPr>
        <w:lastRenderedPageBreak/>
        <w:t>ESMA</w:t>
      </w:r>
      <w:r w:rsidRPr="002127DF">
        <w:rPr>
          <w:rFonts w:eastAsia="仿宋_GB2312" w:hint="eastAsia"/>
          <w:sz w:val="30"/>
          <w:szCs w:val="30"/>
        </w:rPr>
        <w:t>一直与国家主管部门（</w:t>
      </w:r>
      <w:r w:rsidRPr="002127DF">
        <w:rPr>
          <w:rFonts w:eastAsia="仿宋_GB2312" w:hint="eastAsia"/>
          <w:sz w:val="30"/>
          <w:szCs w:val="30"/>
        </w:rPr>
        <w:t>NCAs</w:t>
      </w:r>
      <w:r w:rsidRPr="002127DF">
        <w:rPr>
          <w:rFonts w:eastAsia="仿宋_GB2312" w:hint="eastAsia"/>
          <w:sz w:val="30"/>
          <w:szCs w:val="30"/>
        </w:rPr>
        <w:t>）合作，分析加密资产的不同商业模式、可能引发的风险和潜在利益，以及它们如何适应现有的监管框架。根据这项工作，包括</w:t>
      </w:r>
      <w:r w:rsidRPr="002127DF">
        <w:rPr>
          <w:rFonts w:eastAsia="仿宋_GB2312" w:hint="eastAsia"/>
          <w:sz w:val="30"/>
          <w:szCs w:val="30"/>
        </w:rPr>
        <w:t>2018</w:t>
      </w:r>
      <w:r w:rsidRPr="002127DF">
        <w:rPr>
          <w:rFonts w:eastAsia="仿宋_GB2312" w:hint="eastAsia"/>
          <w:sz w:val="30"/>
          <w:szCs w:val="30"/>
        </w:rPr>
        <w:t>年对</w:t>
      </w:r>
      <w:r w:rsidRPr="002127DF">
        <w:rPr>
          <w:rFonts w:eastAsia="仿宋_GB2312" w:hint="eastAsia"/>
          <w:sz w:val="30"/>
          <w:szCs w:val="30"/>
        </w:rPr>
        <w:t>NCAs</w:t>
      </w:r>
      <w:r w:rsidRPr="002127DF">
        <w:rPr>
          <w:rFonts w:eastAsia="仿宋_GB2312" w:hint="eastAsia"/>
          <w:sz w:val="30"/>
          <w:szCs w:val="30"/>
        </w:rPr>
        <w:t>开展调查，</w:t>
      </w:r>
      <w:r w:rsidRPr="002127DF">
        <w:rPr>
          <w:rFonts w:eastAsia="仿宋_GB2312" w:hint="eastAsia"/>
          <w:sz w:val="30"/>
          <w:szCs w:val="30"/>
        </w:rPr>
        <w:t>ESMA</w:t>
      </w:r>
      <w:r w:rsidR="00271F14">
        <w:rPr>
          <w:rFonts w:eastAsia="仿宋_GB2312" w:hint="eastAsia"/>
          <w:sz w:val="30"/>
          <w:szCs w:val="30"/>
        </w:rPr>
        <w:t>已经明确了关于加密资产在当前金融监管框架中的差距和问题</w:t>
      </w:r>
      <w:r w:rsidRPr="002127DF">
        <w:rPr>
          <w:rFonts w:eastAsia="仿宋_GB2312" w:hint="eastAsia"/>
          <w:sz w:val="30"/>
          <w:szCs w:val="30"/>
        </w:rPr>
        <w:t>：一是可以被认定为金融工具市场指令（</w:t>
      </w:r>
      <w:proofErr w:type="spellStart"/>
      <w:r w:rsidRPr="002127DF">
        <w:rPr>
          <w:rFonts w:eastAsia="仿宋_GB2312" w:hint="eastAsia"/>
          <w:sz w:val="30"/>
          <w:szCs w:val="30"/>
        </w:rPr>
        <w:t>MiFID</w:t>
      </w:r>
      <w:proofErr w:type="spellEnd"/>
      <w:r w:rsidRPr="002127DF">
        <w:rPr>
          <w:rFonts w:eastAsia="仿宋_GB2312" w:hint="eastAsia"/>
          <w:sz w:val="30"/>
          <w:szCs w:val="30"/>
        </w:rPr>
        <w:t>）中的金融工具的加密资产，存在需要进行潜在解释或考虑具体要求的部分，以便有效适用于现有法规；二是不具备金融工具资格的加密资产缺乏可适用的金融规则，从而会使投资者面临重大风险。</w:t>
      </w:r>
      <w:r w:rsidRPr="002127DF">
        <w:rPr>
          <w:rFonts w:eastAsia="仿宋_GB2312" w:hint="eastAsia"/>
          <w:sz w:val="30"/>
          <w:szCs w:val="30"/>
        </w:rPr>
        <w:t>ESMA</w:t>
      </w:r>
      <w:r w:rsidRPr="002127DF">
        <w:rPr>
          <w:rFonts w:eastAsia="仿宋_GB2312" w:hint="eastAsia"/>
          <w:sz w:val="30"/>
          <w:szCs w:val="30"/>
        </w:rPr>
        <w:t>认为，所有加密资产和相关活动应遵守反洗钱（</w:t>
      </w:r>
      <w:r w:rsidRPr="002127DF">
        <w:rPr>
          <w:rFonts w:eastAsia="仿宋_GB2312" w:hint="eastAsia"/>
          <w:sz w:val="30"/>
          <w:szCs w:val="30"/>
        </w:rPr>
        <w:t>AML</w:t>
      </w:r>
      <w:r w:rsidRPr="002127DF">
        <w:rPr>
          <w:rFonts w:eastAsia="仿宋_GB2312" w:hint="eastAsia"/>
          <w:sz w:val="30"/>
          <w:szCs w:val="30"/>
        </w:rPr>
        <w:t>）的要求。同时，还应有适当的风险披露，以便投资者在将资金投入加密资产前了解潜在风险。</w:t>
      </w:r>
    </w:p>
    <w:p w:rsidR="00596D15" w:rsidRPr="002127DF" w:rsidRDefault="00596D15" w:rsidP="00596D15">
      <w:pPr>
        <w:ind w:firstLineChars="200" w:firstLine="600"/>
        <w:rPr>
          <w:rFonts w:eastAsia="仿宋_GB2312"/>
          <w:sz w:val="30"/>
          <w:szCs w:val="30"/>
        </w:rPr>
      </w:pPr>
      <w:r w:rsidRPr="002127DF">
        <w:rPr>
          <w:rFonts w:eastAsia="仿宋_GB2312"/>
          <w:sz w:val="30"/>
          <w:szCs w:val="30"/>
        </w:rPr>
        <w:t xml:space="preserve">Steven </w:t>
      </w:r>
      <w:proofErr w:type="spellStart"/>
      <w:r w:rsidRPr="002127DF">
        <w:rPr>
          <w:rFonts w:eastAsia="仿宋_GB2312"/>
          <w:sz w:val="30"/>
          <w:szCs w:val="30"/>
        </w:rPr>
        <w:t>Maijoor</w:t>
      </w:r>
      <w:proofErr w:type="spellEnd"/>
      <w:r w:rsidR="00894B05" w:rsidRPr="002127DF">
        <w:rPr>
          <w:rFonts w:eastAsia="仿宋_GB2312" w:hint="eastAsia"/>
          <w:sz w:val="30"/>
          <w:szCs w:val="30"/>
        </w:rPr>
        <w:t>主席表示</w:t>
      </w:r>
      <w:r w:rsidRPr="002127DF">
        <w:rPr>
          <w:rFonts w:eastAsia="仿宋_GB2312" w:hint="eastAsia"/>
          <w:sz w:val="30"/>
          <w:szCs w:val="30"/>
        </w:rPr>
        <w:t>，为</w:t>
      </w:r>
      <w:r w:rsidR="00894B05" w:rsidRPr="002127DF">
        <w:rPr>
          <w:rFonts w:eastAsia="仿宋_GB2312" w:hint="eastAsia"/>
          <w:sz w:val="30"/>
          <w:szCs w:val="30"/>
        </w:rPr>
        <w:t>了在欧盟营造一个公平竞争的环境，确保对投资者提供足够的保护，他认为</w:t>
      </w:r>
      <w:r w:rsidRPr="002127DF">
        <w:rPr>
          <w:rFonts w:eastAsia="仿宋_GB2312" w:hint="eastAsia"/>
          <w:sz w:val="30"/>
          <w:szCs w:val="30"/>
        </w:rPr>
        <w:t>所确定的差距和问题最好在欧洲层面得到解决。</w:t>
      </w:r>
    </w:p>
    <w:p w:rsidR="00596D15" w:rsidRPr="002127DF" w:rsidRDefault="00596D15" w:rsidP="00596D15">
      <w:pPr>
        <w:ind w:firstLineChars="200" w:firstLine="600"/>
        <w:rPr>
          <w:rFonts w:eastAsia="仿宋_GB2312"/>
          <w:sz w:val="30"/>
          <w:szCs w:val="30"/>
        </w:rPr>
      </w:pPr>
      <w:r w:rsidRPr="002127DF">
        <w:rPr>
          <w:rFonts w:eastAsia="仿宋_GB2312" w:hint="eastAsia"/>
          <w:sz w:val="30"/>
          <w:szCs w:val="30"/>
        </w:rPr>
        <w:t>后续，</w:t>
      </w:r>
      <w:r w:rsidRPr="002127DF">
        <w:rPr>
          <w:rFonts w:eastAsia="仿宋_GB2312" w:hint="eastAsia"/>
          <w:sz w:val="30"/>
          <w:szCs w:val="30"/>
        </w:rPr>
        <w:t>ESMA</w:t>
      </w:r>
      <w:r w:rsidRPr="002127DF">
        <w:rPr>
          <w:rFonts w:eastAsia="仿宋_GB2312" w:hint="eastAsia"/>
          <w:sz w:val="30"/>
          <w:szCs w:val="30"/>
        </w:rPr>
        <w:t>在与</w:t>
      </w:r>
      <w:r w:rsidRPr="002127DF">
        <w:rPr>
          <w:rFonts w:eastAsia="仿宋_GB2312" w:hint="eastAsia"/>
          <w:sz w:val="30"/>
          <w:szCs w:val="30"/>
        </w:rPr>
        <w:t>NCAs</w:t>
      </w:r>
      <w:r w:rsidRPr="002127DF">
        <w:rPr>
          <w:rFonts w:eastAsia="仿宋_GB2312" w:hint="eastAsia"/>
          <w:sz w:val="30"/>
          <w:szCs w:val="30"/>
        </w:rPr>
        <w:t>和全球监管机构合作的同时，将继续积极监控加密资产的市场发展。</w:t>
      </w:r>
    </w:p>
    <w:p w:rsidR="00627EB3" w:rsidRDefault="00596D15" w:rsidP="00FC0BC5">
      <w:pPr>
        <w:ind w:firstLineChars="200" w:firstLine="600"/>
        <w:rPr>
          <w:rStyle w:val="a8"/>
          <w:rFonts w:cs="Arial"/>
          <w:color w:val="000000" w:themeColor="text1"/>
          <w:sz w:val="30"/>
          <w:szCs w:val="30"/>
          <w:u w:val="none"/>
        </w:rPr>
      </w:pPr>
      <w:r w:rsidRPr="002127DF">
        <w:rPr>
          <w:rStyle w:val="a8"/>
          <w:rFonts w:cs="Arial" w:hint="eastAsia"/>
          <w:color w:val="000000" w:themeColor="text1"/>
          <w:sz w:val="30"/>
          <w:szCs w:val="30"/>
          <w:u w:val="none"/>
        </w:rPr>
        <w:t>网址链接：</w:t>
      </w:r>
    </w:p>
    <w:p w:rsidR="00596D15" w:rsidRPr="002127DF" w:rsidRDefault="009D05E8" w:rsidP="00215560">
      <w:pPr>
        <w:ind w:firstLineChars="200" w:firstLine="480"/>
        <w:rPr>
          <w:rStyle w:val="a8"/>
          <w:rFonts w:cs="Arial"/>
          <w:color w:val="000000" w:themeColor="text1"/>
          <w:sz w:val="30"/>
          <w:szCs w:val="30"/>
        </w:rPr>
      </w:pPr>
      <w:hyperlink r:id="rId18" w:history="1">
        <w:r w:rsidR="00596D15" w:rsidRPr="002127DF">
          <w:rPr>
            <w:rStyle w:val="a8"/>
            <w:rFonts w:hint="eastAsia"/>
            <w:sz w:val="30"/>
            <w:szCs w:val="30"/>
          </w:rPr>
          <w:t>https://www.esma.europa.eu/sites/default/files/library/esma71-99-1084_advice_on_crypto_assets.pdf</w:t>
        </w:r>
      </w:hyperlink>
    </w:p>
    <w:p w:rsidR="00596D15" w:rsidRPr="002127DF" w:rsidRDefault="00596D15" w:rsidP="00596D15">
      <w:pPr>
        <w:rPr>
          <w:color w:val="000000" w:themeColor="text1"/>
          <w:sz w:val="30"/>
          <w:szCs w:val="30"/>
        </w:rPr>
      </w:pPr>
    </w:p>
    <w:p w:rsidR="00596D15" w:rsidRPr="002127DF" w:rsidRDefault="006D0DC4" w:rsidP="00271F14">
      <w:pPr>
        <w:spacing w:beforeLines="100" w:afterLines="100"/>
        <w:outlineLvl w:val="1"/>
        <w:rPr>
          <w:rStyle w:val="tlid-translation"/>
          <w:rFonts w:eastAsiaTheme="majorEastAsia"/>
          <w:b/>
          <w:sz w:val="30"/>
          <w:szCs w:val="30"/>
        </w:rPr>
      </w:pPr>
      <w:r w:rsidRPr="002127DF">
        <w:rPr>
          <w:rStyle w:val="tlid-translation"/>
          <w:rFonts w:eastAsiaTheme="majorEastAsia" w:hint="eastAsia"/>
          <w:b/>
          <w:sz w:val="30"/>
          <w:szCs w:val="30"/>
        </w:rPr>
        <w:t>SEC</w:t>
      </w:r>
      <w:r w:rsidR="00596D15" w:rsidRPr="002127DF">
        <w:rPr>
          <w:rStyle w:val="tlid-translation"/>
          <w:rFonts w:eastAsiaTheme="majorEastAsia" w:hAnsiTheme="majorEastAsia" w:hint="eastAsia"/>
          <w:b/>
          <w:sz w:val="30"/>
          <w:szCs w:val="30"/>
        </w:rPr>
        <w:t>：</w:t>
      </w:r>
      <w:r w:rsidR="00596D15" w:rsidRPr="002127DF">
        <w:rPr>
          <w:rStyle w:val="tlid-translation"/>
          <w:rFonts w:eastAsiaTheme="majorEastAsia" w:hAnsiTheme="majorEastAsia"/>
          <w:b/>
          <w:sz w:val="30"/>
          <w:szCs w:val="30"/>
        </w:rPr>
        <w:t>法院对</w:t>
      </w:r>
      <w:r w:rsidR="00596D15" w:rsidRPr="002127DF">
        <w:rPr>
          <w:rFonts w:eastAsiaTheme="majorEastAsia"/>
          <w:b/>
          <w:sz w:val="30"/>
          <w:szCs w:val="30"/>
        </w:rPr>
        <w:t>Woodbridge</w:t>
      </w:r>
      <w:r w:rsidR="00596D15" w:rsidRPr="002127DF">
        <w:rPr>
          <w:rStyle w:val="tlid-translation"/>
          <w:rFonts w:eastAsiaTheme="majorEastAsia" w:hAnsiTheme="majorEastAsia"/>
          <w:b/>
          <w:sz w:val="30"/>
          <w:szCs w:val="30"/>
        </w:rPr>
        <w:t>庞氏骗局</w:t>
      </w:r>
      <w:r w:rsidR="00596D15" w:rsidRPr="002127DF">
        <w:rPr>
          <w:rStyle w:val="tlid-translation"/>
          <w:rFonts w:eastAsiaTheme="majorEastAsia" w:hAnsiTheme="majorEastAsia" w:hint="eastAsia"/>
          <w:b/>
          <w:sz w:val="30"/>
          <w:szCs w:val="30"/>
        </w:rPr>
        <w:t>经营者开出高额罚款，保护中小投资者权益</w:t>
      </w:r>
    </w:p>
    <w:p w:rsidR="00596D15" w:rsidRPr="002127DF" w:rsidRDefault="00596D15" w:rsidP="00596D15">
      <w:pPr>
        <w:ind w:firstLineChars="200" w:firstLine="600"/>
        <w:jc w:val="both"/>
        <w:rPr>
          <w:rStyle w:val="tlid-translation"/>
          <w:sz w:val="30"/>
          <w:szCs w:val="30"/>
        </w:rPr>
      </w:pPr>
      <w:r w:rsidRPr="002127DF">
        <w:rPr>
          <w:rStyle w:val="tlid-translation"/>
          <w:rFonts w:hint="eastAsia"/>
          <w:sz w:val="30"/>
          <w:szCs w:val="30"/>
        </w:rPr>
        <w:lastRenderedPageBreak/>
        <w:t>2019</w:t>
      </w:r>
      <w:r w:rsidRPr="002127DF">
        <w:rPr>
          <w:rStyle w:val="tlid-translation"/>
          <w:rFonts w:hint="eastAsia"/>
          <w:sz w:val="30"/>
          <w:szCs w:val="30"/>
        </w:rPr>
        <w:t>年</w:t>
      </w:r>
      <w:r w:rsidRPr="002127DF">
        <w:rPr>
          <w:rStyle w:val="tlid-translation"/>
          <w:rFonts w:hint="eastAsia"/>
          <w:sz w:val="30"/>
          <w:szCs w:val="30"/>
        </w:rPr>
        <w:t>1</w:t>
      </w:r>
      <w:r w:rsidRPr="002127DF">
        <w:rPr>
          <w:rStyle w:val="tlid-translation"/>
          <w:rFonts w:hint="eastAsia"/>
          <w:sz w:val="30"/>
          <w:szCs w:val="30"/>
        </w:rPr>
        <w:t>月</w:t>
      </w:r>
      <w:r w:rsidRPr="002127DF">
        <w:rPr>
          <w:rStyle w:val="tlid-translation"/>
          <w:rFonts w:hint="eastAsia"/>
          <w:sz w:val="30"/>
          <w:szCs w:val="30"/>
        </w:rPr>
        <w:t>28</w:t>
      </w:r>
      <w:r w:rsidRPr="002127DF">
        <w:rPr>
          <w:rStyle w:val="tlid-translation"/>
          <w:rFonts w:hint="eastAsia"/>
          <w:sz w:val="30"/>
          <w:szCs w:val="30"/>
        </w:rPr>
        <w:t>日，美国证券交易委员会（</w:t>
      </w:r>
      <w:r w:rsidRPr="002127DF">
        <w:rPr>
          <w:rStyle w:val="tlid-translation"/>
          <w:rFonts w:hint="eastAsia"/>
          <w:sz w:val="30"/>
          <w:szCs w:val="30"/>
        </w:rPr>
        <w:t>SEC</w:t>
      </w:r>
      <w:r w:rsidRPr="002127DF">
        <w:rPr>
          <w:rStyle w:val="tlid-translation"/>
          <w:rFonts w:hint="eastAsia"/>
          <w:sz w:val="30"/>
          <w:szCs w:val="30"/>
        </w:rPr>
        <w:t>）宣布，佛罗里达州联邦法院下令对</w:t>
      </w:r>
      <w:r w:rsidRPr="002127DF">
        <w:rPr>
          <w:rStyle w:val="tlid-translation"/>
          <w:rFonts w:hint="eastAsia"/>
          <w:sz w:val="30"/>
          <w:szCs w:val="30"/>
        </w:rPr>
        <w:t>Woodbridge</w:t>
      </w:r>
      <w:r w:rsidRPr="002127DF">
        <w:rPr>
          <w:rStyle w:val="tlid-translation"/>
          <w:rFonts w:hint="eastAsia"/>
          <w:sz w:val="30"/>
          <w:szCs w:val="30"/>
        </w:rPr>
        <w:t>集团公司及公司前负责人处以</w:t>
      </w:r>
      <w:r w:rsidRPr="002127DF">
        <w:rPr>
          <w:rStyle w:val="tlid-translation"/>
          <w:rFonts w:hint="eastAsia"/>
          <w:sz w:val="30"/>
          <w:szCs w:val="30"/>
        </w:rPr>
        <w:t>10</w:t>
      </w:r>
      <w:r w:rsidRPr="002127DF">
        <w:rPr>
          <w:rStyle w:val="tlid-translation"/>
          <w:rFonts w:hint="eastAsia"/>
          <w:sz w:val="30"/>
          <w:szCs w:val="30"/>
        </w:rPr>
        <w:t>亿美元的罚款与追缴款，以处罚其对中小投资者实施庞氏骗局。</w:t>
      </w:r>
    </w:p>
    <w:p w:rsidR="00596D15" w:rsidRPr="002127DF" w:rsidRDefault="00271F14" w:rsidP="00596D15">
      <w:pPr>
        <w:ind w:firstLineChars="200" w:firstLine="600"/>
        <w:jc w:val="both"/>
        <w:rPr>
          <w:rStyle w:val="tlid-translation"/>
          <w:sz w:val="30"/>
          <w:szCs w:val="30"/>
        </w:rPr>
      </w:pPr>
      <w:r>
        <w:rPr>
          <w:rStyle w:val="tlid-translation"/>
          <w:rFonts w:hint="eastAsia"/>
          <w:sz w:val="30"/>
          <w:szCs w:val="30"/>
        </w:rPr>
        <w:t>美国佛罗里达州南区地方法院</w:t>
      </w:r>
      <w:r w:rsidR="00596D15" w:rsidRPr="002127DF">
        <w:rPr>
          <w:rStyle w:val="tlid-translation"/>
          <w:rFonts w:hint="eastAsia"/>
          <w:sz w:val="30"/>
          <w:szCs w:val="30"/>
        </w:rPr>
        <w:t>Marcia G. Cooke</w:t>
      </w:r>
      <w:r w:rsidR="00596D15" w:rsidRPr="002127DF">
        <w:rPr>
          <w:rStyle w:val="tlid-translation"/>
          <w:rFonts w:hint="eastAsia"/>
          <w:sz w:val="30"/>
          <w:szCs w:val="30"/>
        </w:rPr>
        <w:t>法官批准了对</w:t>
      </w:r>
      <w:r w:rsidR="00596D15" w:rsidRPr="002127DF">
        <w:rPr>
          <w:rStyle w:val="tlid-translation"/>
          <w:rFonts w:hint="eastAsia"/>
          <w:sz w:val="30"/>
          <w:szCs w:val="30"/>
        </w:rPr>
        <w:t>Woodbridge</w:t>
      </w:r>
      <w:r w:rsidR="00596D15" w:rsidRPr="002127DF">
        <w:rPr>
          <w:rStyle w:val="tlid-translation"/>
          <w:rFonts w:hint="eastAsia"/>
          <w:sz w:val="30"/>
          <w:szCs w:val="30"/>
        </w:rPr>
        <w:t>及其</w:t>
      </w:r>
      <w:r w:rsidR="00596D15" w:rsidRPr="002127DF">
        <w:rPr>
          <w:rStyle w:val="tlid-translation"/>
          <w:rFonts w:hint="eastAsia"/>
          <w:sz w:val="30"/>
          <w:szCs w:val="30"/>
        </w:rPr>
        <w:t>281</w:t>
      </w:r>
      <w:r w:rsidR="00596D15" w:rsidRPr="002127DF">
        <w:rPr>
          <w:rStyle w:val="tlid-translation"/>
          <w:rFonts w:hint="eastAsia"/>
          <w:sz w:val="30"/>
          <w:szCs w:val="30"/>
        </w:rPr>
        <w:t>家相关公司的判决，命令他们支付</w:t>
      </w:r>
      <w:r w:rsidR="00596D15" w:rsidRPr="002127DF">
        <w:rPr>
          <w:rStyle w:val="tlid-translation"/>
          <w:rFonts w:hint="eastAsia"/>
          <w:sz w:val="30"/>
          <w:szCs w:val="30"/>
        </w:rPr>
        <w:t>8.92</w:t>
      </w:r>
      <w:r w:rsidR="008524EC" w:rsidRPr="002127DF">
        <w:rPr>
          <w:rStyle w:val="tlid-translation"/>
          <w:rFonts w:hint="eastAsia"/>
          <w:sz w:val="30"/>
          <w:szCs w:val="30"/>
        </w:rPr>
        <w:t>亿美元的追缴款。法院判决前</w:t>
      </w:r>
      <w:r w:rsidR="00596D15" w:rsidRPr="002127DF">
        <w:rPr>
          <w:rStyle w:val="tlid-translation"/>
          <w:rFonts w:hint="eastAsia"/>
          <w:sz w:val="30"/>
          <w:szCs w:val="30"/>
        </w:rPr>
        <w:t>公司所有人兼首席执行官</w:t>
      </w:r>
      <w:r w:rsidR="00596D15" w:rsidRPr="002127DF">
        <w:rPr>
          <w:rStyle w:val="tlid-translation"/>
          <w:rFonts w:hint="eastAsia"/>
          <w:sz w:val="30"/>
          <w:szCs w:val="30"/>
        </w:rPr>
        <w:t>Robert H. Shapiro</w:t>
      </w:r>
      <w:r w:rsidR="008524EC" w:rsidRPr="002127DF">
        <w:rPr>
          <w:rStyle w:val="tlid-translation"/>
          <w:rFonts w:hint="eastAsia"/>
          <w:sz w:val="30"/>
          <w:szCs w:val="30"/>
        </w:rPr>
        <w:t>支付</w:t>
      </w:r>
      <w:r w:rsidR="00596D15" w:rsidRPr="002127DF">
        <w:rPr>
          <w:rStyle w:val="tlid-translation"/>
          <w:rFonts w:hint="eastAsia"/>
          <w:sz w:val="30"/>
          <w:szCs w:val="30"/>
        </w:rPr>
        <w:t>1</w:t>
      </w:r>
      <w:r w:rsidR="008524EC" w:rsidRPr="002127DF">
        <w:rPr>
          <w:rStyle w:val="tlid-translation"/>
          <w:rFonts w:hint="eastAsia"/>
          <w:sz w:val="30"/>
          <w:szCs w:val="30"/>
        </w:rPr>
        <w:t>亿美元的民事罚款，并追缴</w:t>
      </w:r>
      <w:r w:rsidR="00596D15" w:rsidRPr="002127DF">
        <w:rPr>
          <w:rStyle w:val="tlid-translation"/>
          <w:rFonts w:hint="eastAsia"/>
          <w:sz w:val="30"/>
          <w:szCs w:val="30"/>
        </w:rPr>
        <w:t>1850</w:t>
      </w:r>
      <w:r w:rsidR="00596D15" w:rsidRPr="002127DF">
        <w:rPr>
          <w:rStyle w:val="tlid-translation"/>
          <w:rFonts w:hint="eastAsia"/>
          <w:sz w:val="30"/>
          <w:szCs w:val="30"/>
        </w:rPr>
        <w:t>万美元的不当得利和</w:t>
      </w:r>
      <w:r w:rsidR="00596D15" w:rsidRPr="002127DF">
        <w:rPr>
          <w:rStyle w:val="tlid-translation"/>
          <w:rFonts w:hint="eastAsia"/>
          <w:sz w:val="30"/>
          <w:szCs w:val="30"/>
        </w:rPr>
        <w:t>210</w:t>
      </w:r>
      <w:r w:rsidR="00596D15" w:rsidRPr="002127DF">
        <w:rPr>
          <w:rStyle w:val="tlid-translation"/>
          <w:rFonts w:hint="eastAsia"/>
          <w:sz w:val="30"/>
          <w:szCs w:val="30"/>
        </w:rPr>
        <w:t>万美元的利息。</w:t>
      </w:r>
    </w:p>
    <w:p w:rsidR="00596D15" w:rsidRPr="002127DF" w:rsidRDefault="00596D15" w:rsidP="00596D15">
      <w:pPr>
        <w:ind w:firstLineChars="200" w:firstLine="600"/>
        <w:jc w:val="both"/>
        <w:rPr>
          <w:rStyle w:val="tlid-translation"/>
          <w:sz w:val="30"/>
          <w:szCs w:val="30"/>
        </w:rPr>
      </w:pPr>
      <w:r w:rsidRPr="002127DF">
        <w:rPr>
          <w:rStyle w:val="tlid-translation"/>
          <w:rFonts w:hint="eastAsia"/>
          <w:sz w:val="30"/>
          <w:szCs w:val="30"/>
        </w:rPr>
        <w:t>2017</w:t>
      </w:r>
      <w:r w:rsidRPr="002127DF">
        <w:rPr>
          <w:rStyle w:val="tlid-translation"/>
          <w:rFonts w:hint="eastAsia"/>
          <w:sz w:val="30"/>
          <w:szCs w:val="30"/>
        </w:rPr>
        <w:t>年</w:t>
      </w:r>
      <w:r w:rsidRPr="002127DF">
        <w:rPr>
          <w:rStyle w:val="tlid-translation"/>
          <w:rFonts w:hint="eastAsia"/>
          <w:sz w:val="30"/>
          <w:szCs w:val="30"/>
        </w:rPr>
        <w:t>12</w:t>
      </w:r>
      <w:r w:rsidRPr="002127DF">
        <w:rPr>
          <w:rStyle w:val="tlid-translation"/>
          <w:rFonts w:hint="eastAsia"/>
          <w:sz w:val="30"/>
          <w:szCs w:val="30"/>
        </w:rPr>
        <w:t>月，</w:t>
      </w:r>
      <w:r w:rsidRPr="002127DF">
        <w:rPr>
          <w:rStyle w:val="tlid-translation"/>
          <w:rFonts w:hint="eastAsia"/>
          <w:sz w:val="30"/>
          <w:szCs w:val="30"/>
        </w:rPr>
        <w:t>SEC</w:t>
      </w:r>
      <w:r w:rsidRPr="002127DF">
        <w:rPr>
          <w:rStyle w:val="tlid-translation"/>
          <w:rFonts w:hint="eastAsia"/>
          <w:sz w:val="30"/>
          <w:szCs w:val="30"/>
        </w:rPr>
        <w:t>向该公司及其他被告提起紧急诉讼，起诉其操纵</w:t>
      </w:r>
      <w:r w:rsidRPr="002127DF">
        <w:rPr>
          <w:rStyle w:val="tlid-translation"/>
          <w:rFonts w:hint="eastAsia"/>
          <w:sz w:val="30"/>
          <w:szCs w:val="30"/>
        </w:rPr>
        <w:t>12</w:t>
      </w:r>
      <w:r w:rsidRPr="002127DF">
        <w:rPr>
          <w:rStyle w:val="tlid-translation"/>
          <w:rFonts w:hint="eastAsia"/>
          <w:sz w:val="30"/>
          <w:szCs w:val="30"/>
        </w:rPr>
        <w:t>亿美元的庞氏骗局，在全美范围内对</w:t>
      </w:r>
      <w:r w:rsidRPr="002127DF">
        <w:rPr>
          <w:rStyle w:val="tlid-translation"/>
          <w:rFonts w:hint="eastAsia"/>
          <w:sz w:val="30"/>
          <w:szCs w:val="30"/>
        </w:rPr>
        <w:t>8400</w:t>
      </w:r>
      <w:r w:rsidRPr="002127DF">
        <w:rPr>
          <w:rStyle w:val="tlid-translation"/>
          <w:rFonts w:hint="eastAsia"/>
          <w:sz w:val="30"/>
          <w:szCs w:val="30"/>
        </w:rPr>
        <w:t>名中小投资者进行欺诈，其中，受欺诈对象中有许多是投资退休基金的老年人。</w:t>
      </w:r>
      <w:r w:rsidRPr="002127DF">
        <w:rPr>
          <w:rStyle w:val="tlid-translation"/>
          <w:rFonts w:hint="eastAsia"/>
          <w:sz w:val="30"/>
          <w:szCs w:val="30"/>
        </w:rPr>
        <w:t>SEC</w:t>
      </w:r>
      <w:r w:rsidRPr="002127DF">
        <w:rPr>
          <w:rStyle w:val="tlid-translation"/>
          <w:rFonts w:hint="eastAsia"/>
          <w:sz w:val="30"/>
          <w:szCs w:val="30"/>
        </w:rPr>
        <w:t>诉称，</w:t>
      </w:r>
      <w:r w:rsidRPr="002127DF">
        <w:rPr>
          <w:rStyle w:val="tlid-translation"/>
          <w:rFonts w:hint="eastAsia"/>
          <w:sz w:val="30"/>
          <w:szCs w:val="30"/>
        </w:rPr>
        <w:t>Shapiro</w:t>
      </w:r>
      <w:r w:rsidRPr="002127DF">
        <w:rPr>
          <w:rStyle w:val="tlid-translation"/>
          <w:rFonts w:hint="eastAsia"/>
          <w:sz w:val="30"/>
          <w:szCs w:val="30"/>
        </w:rPr>
        <w:t>通过向投资者付款并使用空壳公司网站来隐瞒该骗局。</w:t>
      </w:r>
    </w:p>
    <w:p w:rsidR="00596D15" w:rsidRPr="002127DF" w:rsidRDefault="00596D15" w:rsidP="00596D15">
      <w:pPr>
        <w:ind w:firstLineChars="200" w:firstLine="600"/>
        <w:jc w:val="both"/>
        <w:rPr>
          <w:rStyle w:val="tlid-translation"/>
          <w:sz w:val="30"/>
          <w:szCs w:val="30"/>
        </w:rPr>
      </w:pPr>
      <w:r w:rsidRPr="002127DF">
        <w:rPr>
          <w:rStyle w:val="tlid-translation"/>
          <w:rFonts w:hint="eastAsia"/>
          <w:sz w:val="30"/>
          <w:szCs w:val="30"/>
        </w:rPr>
        <w:t>SEC</w:t>
      </w:r>
      <w:r w:rsidRPr="002127DF">
        <w:rPr>
          <w:rStyle w:val="tlid-translation"/>
          <w:rFonts w:hint="eastAsia"/>
          <w:sz w:val="30"/>
          <w:szCs w:val="30"/>
        </w:rPr>
        <w:t>执法部门联合主任</w:t>
      </w:r>
      <w:r w:rsidRPr="002127DF">
        <w:rPr>
          <w:rFonts w:hint="eastAsia"/>
          <w:sz w:val="30"/>
          <w:szCs w:val="30"/>
        </w:rPr>
        <w:t xml:space="preserve">Stephanie </w:t>
      </w:r>
      <w:proofErr w:type="spellStart"/>
      <w:r w:rsidRPr="002127DF">
        <w:rPr>
          <w:rFonts w:hint="eastAsia"/>
          <w:sz w:val="30"/>
          <w:szCs w:val="30"/>
        </w:rPr>
        <w:t>Avakian</w:t>
      </w:r>
      <w:proofErr w:type="spellEnd"/>
      <w:r w:rsidRPr="002127DF">
        <w:rPr>
          <w:rStyle w:val="tlid-translation"/>
          <w:rFonts w:hint="eastAsia"/>
          <w:sz w:val="30"/>
          <w:szCs w:val="30"/>
        </w:rPr>
        <w:t>认为，该诉讼实现了</w:t>
      </w:r>
      <w:r w:rsidRPr="002127DF">
        <w:rPr>
          <w:rStyle w:val="tlid-translation"/>
          <w:rFonts w:hint="eastAsia"/>
          <w:sz w:val="30"/>
          <w:szCs w:val="30"/>
        </w:rPr>
        <w:t>SEC</w:t>
      </w:r>
      <w:r w:rsidRPr="002127DF">
        <w:rPr>
          <w:rStyle w:val="tlid-translation"/>
          <w:rFonts w:hint="eastAsia"/>
          <w:sz w:val="30"/>
          <w:szCs w:val="30"/>
        </w:rPr>
        <w:t>保护中小投资者的核心任务之一。</w:t>
      </w:r>
      <w:r w:rsidRPr="002127DF">
        <w:rPr>
          <w:rStyle w:val="tlid-translation"/>
          <w:rFonts w:hint="eastAsia"/>
          <w:sz w:val="30"/>
          <w:szCs w:val="30"/>
        </w:rPr>
        <w:t>Shapiro</w:t>
      </w:r>
      <w:r w:rsidRPr="002127DF">
        <w:rPr>
          <w:rStyle w:val="tlid-translation"/>
          <w:rFonts w:hint="eastAsia"/>
          <w:sz w:val="30"/>
          <w:szCs w:val="30"/>
        </w:rPr>
        <w:t>和其他被告将被追究责任，其不当行为将受到实质性处罚。</w:t>
      </w:r>
    </w:p>
    <w:p w:rsidR="00AE0E18" w:rsidRPr="002127DF" w:rsidRDefault="00596D15" w:rsidP="00596D15">
      <w:pPr>
        <w:ind w:firstLineChars="200" w:firstLine="600"/>
        <w:jc w:val="both"/>
        <w:rPr>
          <w:rStyle w:val="tlid-translation"/>
          <w:sz w:val="30"/>
          <w:szCs w:val="30"/>
        </w:rPr>
      </w:pPr>
      <w:r w:rsidRPr="002127DF">
        <w:rPr>
          <w:rStyle w:val="tlid-translation"/>
          <w:rFonts w:hint="eastAsia"/>
          <w:sz w:val="30"/>
          <w:szCs w:val="30"/>
        </w:rPr>
        <w:t>SEC</w:t>
      </w:r>
      <w:r w:rsidRPr="002127DF">
        <w:rPr>
          <w:rStyle w:val="tlid-translation"/>
          <w:rFonts w:hint="eastAsia"/>
          <w:sz w:val="30"/>
          <w:szCs w:val="30"/>
        </w:rPr>
        <w:t>迈阿密地区办事处主任</w:t>
      </w:r>
      <w:r w:rsidRPr="002127DF">
        <w:rPr>
          <w:rStyle w:val="tlid-translation"/>
          <w:rFonts w:hint="eastAsia"/>
          <w:sz w:val="30"/>
          <w:szCs w:val="30"/>
        </w:rPr>
        <w:t xml:space="preserve">Eric I. </w:t>
      </w:r>
      <w:proofErr w:type="spellStart"/>
      <w:r w:rsidRPr="002127DF">
        <w:rPr>
          <w:rStyle w:val="tlid-translation"/>
          <w:rFonts w:hint="eastAsia"/>
          <w:sz w:val="30"/>
          <w:szCs w:val="30"/>
        </w:rPr>
        <w:t>Bustillo</w:t>
      </w:r>
      <w:proofErr w:type="spellEnd"/>
      <w:r w:rsidR="00271F14">
        <w:rPr>
          <w:rStyle w:val="tlid-translation"/>
          <w:rFonts w:hint="eastAsia"/>
          <w:sz w:val="30"/>
          <w:szCs w:val="30"/>
        </w:rPr>
        <w:t>表示</w:t>
      </w:r>
      <w:r w:rsidRPr="002127DF">
        <w:rPr>
          <w:rStyle w:val="tlid-translation"/>
          <w:rFonts w:hint="eastAsia"/>
          <w:sz w:val="30"/>
          <w:szCs w:val="30"/>
        </w:rPr>
        <w:t>，</w:t>
      </w:r>
      <w:r w:rsidRPr="002127DF">
        <w:rPr>
          <w:rStyle w:val="tlid-translation"/>
          <w:rFonts w:hint="eastAsia"/>
          <w:sz w:val="30"/>
          <w:szCs w:val="30"/>
        </w:rPr>
        <w:t>Woodbridge</w:t>
      </w:r>
      <w:r w:rsidRPr="002127DF">
        <w:rPr>
          <w:rStyle w:val="tlid-translation"/>
          <w:rFonts w:hint="eastAsia"/>
          <w:sz w:val="30"/>
          <w:szCs w:val="30"/>
        </w:rPr>
        <w:t>虚构的商业模式崩溃时，其停止向投资者付款并申请破产保护的行为受到起诉。和解协议中约定其向投资者返还大量资金。</w:t>
      </w:r>
    </w:p>
    <w:p w:rsidR="00596D15" w:rsidRPr="002127DF" w:rsidRDefault="00271F14" w:rsidP="00596D15">
      <w:pPr>
        <w:ind w:firstLineChars="200" w:firstLine="600"/>
        <w:jc w:val="both"/>
        <w:rPr>
          <w:sz w:val="30"/>
          <w:szCs w:val="30"/>
        </w:rPr>
      </w:pPr>
      <w:r w:rsidRPr="00271F14">
        <w:rPr>
          <w:rStyle w:val="tlid-translation"/>
          <w:rFonts w:hint="eastAsia"/>
          <w:sz w:val="30"/>
          <w:szCs w:val="30"/>
        </w:rPr>
        <w:t>由于根据特拉华州美国地方法院</w:t>
      </w:r>
      <w:r w:rsidRPr="00271F14">
        <w:rPr>
          <w:rStyle w:val="tlid-translation"/>
          <w:rFonts w:hint="eastAsia"/>
          <w:sz w:val="30"/>
          <w:szCs w:val="30"/>
        </w:rPr>
        <w:t>Woodbridge</w:t>
      </w:r>
      <w:r w:rsidRPr="00271F14">
        <w:rPr>
          <w:rStyle w:val="tlid-translation"/>
          <w:rFonts w:hint="eastAsia"/>
          <w:sz w:val="30"/>
          <w:szCs w:val="30"/>
        </w:rPr>
        <w:t>安第</w:t>
      </w:r>
      <w:r w:rsidRPr="00271F14">
        <w:rPr>
          <w:rStyle w:val="tlid-translation"/>
          <w:rFonts w:hint="eastAsia"/>
          <w:sz w:val="30"/>
          <w:szCs w:val="30"/>
        </w:rPr>
        <w:t>11</w:t>
      </w:r>
      <w:proofErr w:type="gramStart"/>
      <w:r w:rsidRPr="00271F14">
        <w:rPr>
          <w:rStyle w:val="tlid-translation"/>
          <w:rFonts w:hint="eastAsia"/>
          <w:sz w:val="30"/>
          <w:szCs w:val="30"/>
        </w:rPr>
        <w:t>章案件</w:t>
      </w:r>
      <w:proofErr w:type="gramEnd"/>
      <w:r w:rsidRPr="00271F14">
        <w:rPr>
          <w:rStyle w:val="tlid-translation"/>
          <w:rFonts w:hint="eastAsia"/>
          <w:sz w:val="30"/>
          <w:szCs w:val="30"/>
        </w:rPr>
        <w:t>中的计划形成的清算信托基金计划的成立，法院对</w:t>
      </w:r>
      <w:r w:rsidRPr="00271F14">
        <w:rPr>
          <w:rStyle w:val="tlid-translation"/>
          <w:rFonts w:hint="eastAsia"/>
          <w:sz w:val="30"/>
          <w:szCs w:val="30"/>
        </w:rPr>
        <w:t>Woodbridge</w:t>
      </w:r>
      <w:r w:rsidRPr="00271F14">
        <w:rPr>
          <w:rStyle w:val="tlid-translation"/>
          <w:rFonts w:hint="eastAsia"/>
          <w:sz w:val="30"/>
          <w:szCs w:val="30"/>
        </w:rPr>
        <w:lastRenderedPageBreak/>
        <w:t>及相关公司被告的禁止令将被视为满足条件。</w:t>
      </w:r>
      <w:r w:rsidR="00596D15" w:rsidRPr="00271F14">
        <w:rPr>
          <w:rStyle w:val="tlid-translation"/>
          <w:rFonts w:hint="eastAsia"/>
          <w:sz w:val="30"/>
          <w:szCs w:val="30"/>
        </w:rPr>
        <w:t>清算信托基金有义务分配处置被告资产破产时的所得款项净额，分</w:t>
      </w:r>
      <w:r w:rsidR="00596D15" w:rsidRPr="002127DF">
        <w:rPr>
          <w:rStyle w:val="tlid-translation"/>
          <w:rFonts w:hint="eastAsia"/>
          <w:sz w:val="30"/>
          <w:szCs w:val="30"/>
        </w:rPr>
        <w:t>配金额将取决于清算信托收取的金额。</w:t>
      </w:r>
    </w:p>
    <w:p w:rsidR="00AE0E18" w:rsidRPr="002127DF" w:rsidRDefault="00596D15" w:rsidP="00596D15">
      <w:pPr>
        <w:ind w:firstLineChars="200" w:firstLine="600"/>
        <w:jc w:val="both"/>
        <w:rPr>
          <w:rStyle w:val="tlid-translation"/>
          <w:sz w:val="30"/>
          <w:szCs w:val="30"/>
        </w:rPr>
      </w:pPr>
      <w:r w:rsidRPr="002127DF">
        <w:rPr>
          <w:rStyle w:val="tlid-translation"/>
          <w:rFonts w:hint="eastAsia"/>
          <w:sz w:val="30"/>
          <w:szCs w:val="30"/>
        </w:rPr>
        <w:t>案件中，所有被告在不承认或否认</w:t>
      </w:r>
      <w:r w:rsidRPr="002127DF">
        <w:rPr>
          <w:rStyle w:val="tlid-translation"/>
          <w:rFonts w:hint="eastAsia"/>
          <w:sz w:val="30"/>
          <w:szCs w:val="30"/>
        </w:rPr>
        <w:t>SEC</w:t>
      </w:r>
      <w:r w:rsidRPr="002127DF">
        <w:rPr>
          <w:rStyle w:val="tlid-translation"/>
          <w:rFonts w:hint="eastAsia"/>
          <w:sz w:val="30"/>
          <w:szCs w:val="30"/>
        </w:rPr>
        <w:t>的指控的情况下，同意接受最终判决，并永久不得违反</w:t>
      </w:r>
      <w:proofErr w:type="gramStart"/>
      <w:r w:rsidRPr="002127DF">
        <w:rPr>
          <w:rStyle w:val="tlid-translation"/>
          <w:rFonts w:hint="eastAsia"/>
          <w:sz w:val="30"/>
          <w:szCs w:val="30"/>
        </w:rPr>
        <w:t>反</w:t>
      </w:r>
      <w:proofErr w:type="gramEnd"/>
      <w:r w:rsidRPr="002127DF">
        <w:rPr>
          <w:rStyle w:val="tlid-translation"/>
          <w:rFonts w:hint="eastAsia"/>
          <w:sz w:val="30"/>
          <w:szCs w:val="30"/>
        </w:rPr>
        <w:t>欺诈和联邦证券法的其他规定。</w:t>
      </w:r>
    </w:p>
    <w:p w:rsidR="00596D15" w:rsidRPr="002127DF" w:rsidRDefault="00596D15" w:rsidP="00596D15">
      <w:pPr>
        <w:ind w:firstLineChars="200" w:firstLine="600"/>
        <w:jc w:val="both"/>
        <w:rPr>
          <w:rStyle w:val="tlid-translation"/>
          <w:sz w:val="30"/>
          <w:szCs w:val="30"/>
        </w:rPr>
      </w:pPr>
      <w:r w:rsidRPr="002127DF">
        <w:rPr>
          <w:rStyle w:val="tlid-translation"/>
          <w:rFonts w:hint="eastAsia"/>
          <w:sz w:val="30"/>
          <w:szCs w:val="30"/>
        </w:rPr>
        <w:t>此外，</w:t>
      </w:r>
      <w:r w:rsidRPr="002127DF">
        <w:rPr>
          <w:rStyle w:val="tlid-translation"/>
          <w:rFonts w:hint="eastAsia"/>
          <w:sz w:val="30"/>
          <w:szCs w:val="30"/>
        </w:rPr>
        <w:t>Robert H. Shapiro</w:t>
      </w:r>
      <w:r w:rsidRPr="002127DF">
        <w:rPr>
          <w:rStyle w:val="tlid-translation"/>
          <w:rFonts w:hint="eastAsia"/>
          <w:sz w:val="30"/>
          <w:szCs w:val="30"/>
        </w:rPr>
        <w:t>保护信托基金和一些被告被要求返还</w:t>
      </w:r>
      <w:r w:rsidRPr="002127DF">
        <w:rPr>
          <w:rStyle w:val="tlid-translation"/>
          <w:rFonts w:hint="eastAsia"/>
          <w:sz w:val="30"/>
          <w:szCs w:val="30"/>
        </w:rPr>
        <w:t>530</w:t>
      </w:r>
      <w:r w:rsidRPr="002127DF">
        <w:rPr>
          <w:rStyle w:val="tlid-translation"/>
          <w:rFonts w:hint="eastAsia"/>
          <w:sz w:val="30"/>
          <w:szCs w:val="30"/>
        </w:rPr>
        <w:t>万美元的不当所得和利息。对此，</w:t>
      </w:r>
      <w:r w:rsidRPr="002127DF">
        <w:rPr>
          <w:rStyle w:val="tlid-translation"/>
          <w:rFonts w:hint="eastAsia"/>
          <w:sz w:val="30"/>
          <w:szCs w:val="30"/>
        </w:rPr>
        <w:t>Shapiro</w:t>
      </w:r>
      <w:r w:rsidRPr="002127DF">
        <w:rPr>
          <w:rStyle w:val="tlid-translation"/>
          <w:rFonts w:hint="eastAsia"/>
          <w:sz w:val="30"/>
          <w:szCs w:val="30"/>
        </w:rPr>
        <w:t>同意履行</w:t>
      </w:r>
      <w:r w:rsidRPr="002127DF">
        <w:rPr>
          <w:rStyle w:val="tlid-translation"/>
          <w:rFonts w:hint="eastAsia"/>
          <w:sz w:val="30"/>
          <w:szCs w:val="30"/>
        </w:rPr>
        <w:t>SEC</w:t>
      </w:r>
      <w:r w:rsidRPr="002127DF">
        <w:rPr>
          <w:rStyle w:val="tlid-translation"/>
          <w:rFonts w:hint="eastAsia"/>
          <w:sz w:val="30"/>
          <w:szCs w:val="30"/>
        </w:rPr>
        <w:t>的行政命令，但不承认或否认</w:t>
      </w:r>
      <w:r w:rsidRPr="002127DF">
        <w:rPr>
          <w:rStyle w:val="tlid-translation"/>
          <w:rFonts w:hint="eastAsia"/>
          <w:sz w:val="30"/>
          <w:szCs w:val="30"/>
        </w:rPr>
        <w:t>SEC</w:t>
      </w:r>
      <w:r w:rsidR="00271F14">
        <w:rPr>
          <w:rStyle w:val="tlid-translation"/>
          <w:rFonts w:hint="eastAsia"/>
          <w:sz w:val="30"/>
          <w:szCs w:val="30"/>
        </w:rPr>
        <w:t>的调查结果。该命令</w:t>
      </w:r>
      <w:r w:rsidRPr="002127DF">
        <w:rPr>
          <w:rStyle w:val="tlid-translation"/>
          <w:rFonts w:hint="eastAsia"/>
          <w:sz w:val="30"/>
          <w:szCs w:val="30"/>
        </w:rPr>
        <w:t>永久禁止</w:t>
      </w:r>
      <w:r w:rsidRPr="002127DF">
        <w:rPr>
          <w:rStyle w:val="tlid-translation"/>
          <w:rFonts w:hint="eastAsia"/>
          <w:sz w:val="30"/>
          <w:szCs w:val="30"/>
        </w:rPr>
        <w:t>Shapiro</w:t>
      </w:r>
      <w:r w:rsidRPr="002127DF">
        <w:rPr>
          <w:rStyle w:val="tlid-translation"/>
          <w:rFonts w:hint="eastAsia"/>
          <w:sz w:val="30"/>
          <w:szCs w:val="30"/>
        </w:rPr>
        <w:t>与任何证券经纪人、交易商、投资顾问、市政证券交易商、市政顾问、转让代理人或国家认可的统计评级机构联系，以及参与任何股票的发行。</w:t>
      </w:r>
    </w:p>
    <w:p w:rsidR="00596D15" w:rsidRPr="00FC0BC5" w:rsidRDefault="00596D15" w:rsidP="00FC0BC5">
      <w:pPr>
        <w:ind w:firstLineChars="200" w:firstLine="600"/>
        <w:rPr>
          <w:sz w:val="30"/>
          <w:szCs w:val="30"/>
        </w:rPr>
      </w:pPr>
      <w:r w:rsidRPr="002127DF">
        <w:rPr>
          <w:rStyle w:val="tlid-translation"/>
          <w:rFonts w:hint="eastAsia"/>
          <w:sz w:val="30"/>
          <w:szCs w:val="30"/>
        </w:rPr>
        <w:t>网址链接：</w:t>
      </w:r>
      <w:r w:rsidR="009D05E8" w:rsidRPr="002127DF">
        <w:fldChar w:fldCharType="begin"/>
      </w:r>
      <w:r w:rsidR="00EE7256" w:rsidRPr="002127DF">
        <w:instrText>HYPERLINK "https://www.sec.gov/news/press-release/2019-3"</w:instrText>
      </w:r>
      <w:r w:rsidR="009D05E8" w:rsidRPr="002127DF">
        <w:fldChar w:fldCharType="separate"/>
      </w:r>
      <w:r w:rsidRPr="002127DF">
        <w:rPr>
          <w:rStyle w:val="a8"/>
          <w:rFonts w:hint="eastAsia"/>
          <w:sz w:val="30"/>
          <w:szCs w:val="30"/>
        </w:rPr>
        <w:t>https://www.sec.gov/news/press-release/2019-3</w:t>
      </w:r>
      <w:r w:rsidR="009D05E8" w:rsidRPr="002127DF">
        <w:fldChar w:fldCharType="end"/>
      </w:r>
    </w:p>
    <w:p w:rsidR="00596D15" w:rsidRPr="002127DF" w:rsidRDefault="00596D15" w:rsidP="00596D15">
      <w:pPr>
        <w:rPr>
          <w:rFonts w:eastAsiaTheme="majorEastAsia"/>
          <w:b/>
          <w:color w:val="000000" w:themeColor="text1"/>
          <w:sz w:val="30"/>
          <w:szCs w:val="30"/>
        </w:rPr>
      </w:pPr>
    </w:p>
    <w:p w:rsidR="00596D15" w:rsidRPr="002127DF" w:rsidRDefault="006D0DC4" w:rsidP="00271F14">
      <w:pPr>
        <w:spacing w:beforeLines="100" w:afterLines="100"/>
        <w:outlineLvl w:val="1"/>
        <w:rPr>
          <w:rStyle w:val="tlid-translation"/>
          <w:rFonts w:eastAsiaTheme="majorEastAsia"/>
          <w:b/>
          <w:sz w:val="30"/>
          <w:szCs w:val="30"/>
        </w:rPr>
      </w:pPr>
      <w:r w:rsidRPr="002127DF">
        <w:rPr>
          <w:rFonts w:eastAsiaTheme="majorEastAsia" w:hint="eastAsia"/>
          <w:b/>
          <w:color w:val="000000" w:themeColor="text1"/>
          <w:sz w:val="30"/>
          <w:szCs w:val="30"/>
        </w:rPr>
        <w:t>SEC</w:t>
      </w:r>
      <w:r w:rsidR="00596D15" w:rsidRPr="002127DF">
        <w:rPr>
          <w:rFonts w:eastAsiaTheme="majorEastAsia" w:hAnsiTheme="majorEastAsia" w:hint="eastAsia"/>
          <w:b/>
          <w:color w:val="000000" w:themeColor="text1"/>
          <w:sz w:val="30"/>
          <w:szCs w:val="30"/>
        </w:rPr>
        <w:t>：</w:t>
      </w:r>
      <w:r w:rsidR="00596D15" w:rsidRPr="002127DF">
        <w:rPr>
          <w:rStyle w:val="tlid-translation"/>
          <w:rFonts w:eastAsiaTheme="majorEastAsia" w:hAnsiTheme="majorEastAsia"/>
          <w:b/>
          <w:sz w:val="30"/>
          <w:szCs w:val="30"/>
        </w:rPr>
        <w:t>指控在线游戏公司创始人欺诈投资者</w:t>
      </w:r>
      <w:r w:rsidR="00596D15" w:rsidRPr="002127DF">
        <w:rPr>
          <w:rStyle w:val="tlid-translation"/>
          <w:rFonts w:eastAsiaTheme="majorEastAsia" w:hAnsiTheme="majorEastAsia" w:hint="eastAsia"/>
          <w:b/>
          <w:sz w:val="30"/>
          <w:szCs w:val="30"/>
        </w:rPr>
        <w:t>，保护投资者权益</w:t>
      </w:r>
    </w:p>
    <w:p w:rsidR="00596D15" w:rsidRPr="002127DF" w:rsidRDefault="00596D15" w:rsidP="00596D15">
      <w:pPr>
        <w:ind w:firstLineChars="200" w:firstLine="600"/>
        <w:jc w:val="both"/>
        <w:rPr>
          <w:rStyle w:val="tlid-translation"/>
          <w:sz w:val="30"/>
          <w:szCs w:val="30"/>
        </w:rPr>
      </w:pPr>
      <w:r w:rsidRPr="002127DF">
        <w:rPr>
          <w:rStyle w:val="tlid-translation"/>
          <w:rFonts w:hint="eastAsia"/>
          <w:sz w:val="30"/>
          <w:szCs w:val="30"/>
        </w:rPr>
        <w:t>2019</w:t>
      </w:r>
      <w:r w:rsidRPr="002127DF">
        <w:rPr>
          <w:rStyle w:val="tlid-translation"/>
          <w:rFonts w:hint="eastAsia"/>
          <w:sz w:val="30"/>
          <w:szCs w:val="30"/>
        </w:rPr>
        <w:t>年</w:t>
      </w:r>
      <w:r w:rsidRPr="002127DF">
        <w:rPr>
          <w:rStyle w:val="tlid-translation"/>
          <w:rFonts w:hint="eastAsia"/>
          <w:sz w:val="30"/>
          <w:szCs w:val="30"/>
        </w:rPr>
        <w:t>2</w:t>
      </w:r>
      <w:r w:rsidRPr="002127DF">
        <w:rPr>
          <w:rStyle w:val="tlid-translation"/>
          <w:rFonts w:hint="eastAsia"/>
          <w:sz w:val="30"/>
          <w:szCs w:val="30"/>
        </w:rPr>
        <w:t>月</w:t>
      </w:r>
      <w:r w:rsidRPr="002127DF">
        <w:rPr>
          <w:rStyle w:val="tlid-translation"/>
          <w:rFonts w:hint="eastAsia"/>
          <w:sz w:val="30"/>
          <w:szCs w:val="30"/>
        </w:rPr>
        <w:t>7</w:t>
      </w:r>
      <w:r w:rsidRPr="002127DF">
        <w:rPr>
          <w:rStyle w:val="tlid-translation"/>
          <w:rFonts w:hint="eastAsia"/>
          <w:sz w:val="30"/>
          <w:szCs w:val="30"/>
        </w:rPr>
        <w:t>日，</w:t>
      </w:r>
      <w:r w:rsidRPr="002127DF">
        <w:rPr>
          <w:rStyle w:val="tlid-translation"/>
          <w:rFonts w:hint="eastAsia"/>
          <w:sz w:val="30"/>
          <w:szCs w:val="30"/>
        </w:rPr>
        <w:t>SEC</w:t>
      </w:r>
      <w:r w:rsidRPr="002127DF">
        <w:rPr>
          <w:rStyle w:val="tlid-translation"/>
          <w:rFonts w:hint="eastAsia"/>
          <w:sz w:val="30"/>
          <w:szCs w:val="30"/>
        </w:rPr>
        <w:t>指控</w:t>
      </w:r>
      <w:r w:rsidRPr="002127DF">
        <w:rPr>
          <w:rStyle w:val="tlid-translation"/>
          <w:rFonts w:hint="eastAsia"/>
          <w:sz w:val="30"/>
          <w:szCs w:val="30"/>
        </w:rPr>
        <w:t>Robert Alexander</w:t>
      </w:r>
      <w:r w:rsidRPr="002127DF">
        <w:rPr>
          <w:rStyle w:val="tlid-translation"/>
          <w:rFonts w:hint="eastAsia"/>
          <w:sz w:val="30"/>
          <w:szCs w:val="30"/>
        </w:rPr>
        <w:t>通过出售</w:t>
      </w:r>
      <w:proofErr w:type="spellStart"/>
      <w:r w:rsidRPr="002127DF">
        <w:rPr>
          <w:rStyle w:val="tlid-translation"/>
          <w:rFonts w:hint="eastAsia"/>
          <w:sz w:val="30"/>
          <w:szCs w:val="30"/>
        </w:rPr>
        <w:t>Kizzang</w:t>
      </w:r>
      <w:proofErr w:type="spellEnd"/>
      <w:r w:rsidRPr="002127DF">
        <w:rPr>
          <w:rStyle w:val="tlid-translation"/>
          <w:rFonts w:hint="eastAsia"/>
          <w:sz w:val="30"/>
          <w:szCs w:val="30"/>
        </w:rPr>
        <w:t xml:space="preserve"> LLC</w:t>
      </w:r>
      <w:r w:rsidRPr="002127DF">
        <w:rPr>
          <w:rStyle w:val="tlid-translation"/>
          <w:rFonts w:hint="eastAsia"/>
          <w:sz w:val="30"/>
          <w:szCs w:val="30"/>
        </w:rPr>
        <w:t>（一家声称提供在线游戏业务的公司）的投资，欺诈性地从</w:t>
      </w:r>
      <w:r w:rsidRPr="002127DF">
        <w:rPr>
          <w:rStyle w:val="tlid-translation"/>
          <w:rFonts w:hint="eastAsia"/>
          <w:sz w:val="30"/>
          <w:szCs w:val="30"/>
        </w:rPr>
        <w:t>50</w:t>
      </w:r>
      <w:r w:rsidRPr="002127DF">
        <w:rPr>
          <w:rStyle w:val="tlid-translation"/>
          <w:rFonts w:hint="eastAsia"/>
          <w:sz w:val="30"/>
          <w:szCs w:val="30"/>
        </w:rPr>
        <w:t>多</w:t>
      </w:r>
      <w:r w:rsidR="00AE0E18" w:rsidRPr="002127DF">
        <w:rPr>
          <w:rStyle w:val="tlid-translation"/>
          <w:rFonts w:hint="eastAsia"/>
          <w:sz w:val="30"/>
          <w:szCs w:val="30"/>
        </w:rPr>
        <w:t>位</w:t>
      </w:r>
      <w:r w:rsidRPr="002127DF">
        <w:rPr>
          <w:rStyle w:val="tlid-translation"/>
          <w:rFonts w:hint="eastAsia"/>
          <w:sz w:val="30"/>
          <w:szCs w:val="30"/>
        </w:rPr>
        <w:t>个人投资者处筹集了约</w:t>
      </w:r>
      <w:r w:rsidRPr="002127DF">
        <w:rPr>
          <w:rStyle w:val="tlid-translation"/>
          <w:rFonts w:hint="eastAsia"/>
          <w:sz w:val="30"/>
          <w:szCs w:val="30"/>
        </w:rPr>
        <w:t>900</w:t>
      </w:r>
      <w:r w:rsidRPr="002127DF">
        <w:rPr>
          <w:rStyle w:val="tlid-translation"/>
          <w:rFonts w:hint="eastAsia"/>
          <w:sz w:val="30"/>
          <w:szCs w:val="30"/>
        </w:rPr>
        <w:t>万美元。</w:t>
      </w:r>
    </w:p>
    <w:p w:rsidR="00596D15" w:rsidRPr="002127DF" w:rsidRDefault="00596D15" w:rsidP="00596D15">
      <w:pPr>
        <w:ind w:firstLineChars="200" w:firstLine="600"/>
        <w:jc w:val="both"/>
        <w:rPr>
          <w:rStyle w:val="tlid-translation"/>
          <w:sz w:val="30"/>
          <w:szCs w:val="30"/>
        </w:rPr>
      </w:pPr>
      <w:r w:rsidRPr="002127DF">
        <w:rPr>
          <w:rStyle w:val="tlid-translation"/>
          <w:rFonts w:hint="eastAsia"/>
          <w:sz w:val="30"/>
          <w:szCs w:val="30"/>
        </w:rPr>
        <w:t>根据</w:t>
      </w:r>
      <w:r w:rsidRPr="002127DF">
        <w:rPr>
          <w:rStyle w:val="tlid-translation"/>
          <w:rFonts w:hint="eastAsia"/>
          <w:sz w:val="30"/>
          <w:szCs w:val="30"/>
        </w:rPr>
        <w:t>SEC</w:t>
      </w:r>
      <w:r w:rsidRPr="002127DF">
        <w:rPr>
          <w:rStyle w:val="tlid-translation"/>
          <w:rFonts w:hint="eastAsia"/>
          <w:sz w:val="30"/>
          <w:szCs w:val="30"/>
        </w:rPr>
        <w:t>的起诉，除其他虚假陈述外，</w:t>
      </w:r>
      <w:r w:rsidRPr="002127DF">
        <w:rPr>
          <w:rStyle w:val="tlid-translation"/>
          <w:rFonts w:hint="eastAsia"/>
          <w:sz w:val="30"/>
          <w:szCs w:val="30"/>
        </w:rPr>
        <w:t>Alexander</w:t>
      </w:r>
      <w:r w:rsidRPr="002127DF">
        <w:rPr>
          <w:rStyle w:val="tlid-translation"/>
          <w:rFonts w:hint="eastAsia"/>
          <w:sz w:val="30"/>
          <w:szCs w:val="30"/>
        </w:rPr>
        <w:t>还告诉投资者，他们至少要投入</w:t>
      </w:r>
      <w:r w:rsidRPr="002127DF">
        <w:rPr>
          <w:rStyle w:val="tlid-translation"/>
          <w:rFonts w:hint="eastAsia"/>
          <w:sz w:val="30"/>
          <w:szCs w:val="30"/>
        </w:rPr>
        <w:t>10</w:t>
      </w:r>
      <w:r w:rsidR="00271F14">
        <w:rPr>
          <w:rStyle w:val="tlid-translation"/>
          <w:rFonts w:hint="eastAsia"/>
          <w:sz w:val="30"/>
          <w:szCs w:val="30"/>
        </w:rPr>
        <w:t>倍的资金</w:t>
      </w:r>
      <w:r w:rsidRPr="002127DF">
        <w:rPr>
          <w:rStyle w:val="tlid-translation"/>
          <w:rFonts w:hint="eastAsia"/>
          <w:sz w:val="30"/>
          <w:szCs w:val="30"/>
        </w:rPr>
        <w:t>。</w:t>
      </w:r>
      <w:r w:rsidRPr="002127DF">
        <w:rPr>
          <w:rStyle w:val="tlid-translation"/>
          <w:rFonts w:hint="eastAsia"/>
          <w:sz w:val="30"/>
          <w:szCs w:val="30"/>
        </w:rPr>
        <w:t>Alexander</w:t>
      </w:r>
      <w:r w:rsidRPr="002127DF">
        <w:rPr>
          <w:rStyle w:val="tlid-translation"/>
          <w:rFonts w:hint="eastAsia"/>
          <w:sz w:val="30"/>
          <w:szCs w:val="30"/>
        </w:rPr>
        <w:t>声称其本人在</w:t>
      </w:r>
      <w:proofErr w:type="spellStart"/>
      <w:r w:rsidRPr="002127DF">
        <w:rPr>
          <w:rStyle w:val="tlid-translation"/>
          <w:rFonts w:hint="eastAsia"/>
          <w:sz w:val="30"/>
          <w:szCs w:val="30"/>
        </w:rPr>
        <w:t>Kizzang</w:t>
      </w:r>
      <w:proofErr w:type="spellEnd"/>
      <w:r w:rsidRPr="002127DF">
        <w:rPr>
          <w:rStyle w:val="tlid-translation"/>
          <w:rFonts w:hint="eastAsia"/>
          <w:sz w:val="30"/>
          <w:szCs w:val="30"/>
        </w:rPr>
        <w:t>投资了数百万美元以开发一款出色的视频游戏，且已经</w:t>
      </w:r>
      <w:r w:rsidRPr="002127DF">
        <w:rPr>
          <w:rStyle w:val="tlid-translation"/>
          <w:rFonts w:hint="eastAsia"/>
          <w:sz w:val="30"/>
          <w:szCs w:val="30"/>
        </w:rPr>
        <w:lastRenderedPageBreak/>
        <w:t>捐赠了</w:t>
      </w:r>
      <w:r w:rsidRPr="002127DF">
        <w:rPr>
          <w:rStyle w:val="tlid-translation"/>
          <w:rFonts w:hint="eastAsia"/>
          <w:sz w:val="30"/>
          <w:szCs w:val="30"/>
        </w:rPr>
        <w:t>5000</w:t>
      </w:r>
      <w:r w:rsidRPr="002127DF">
        <w:rPr>
          <w:rStyle w:val="tlid-translation"/>
          <w:rFonts w:hint="eastAsia"/>
          <w:sz w:val="30"/>
          <w:szCs w:val="30"/>
        </w:rPr>
        <w:t>万美元的慈善捐款。然而，</w:t>
      </w:r>
      <w:r w:rsidRPr="002127DF">
        <w:rPr>
          <w:rStyle w:val="tlid-translation"/>
          <w:rFonts w:hint="eastAsia"/>
          <w:sz w:val="30"/>
          <w:szCs w:val="30"/>
        </w:rPr>
        <w:t>Alexander</w:t>
      </w:r>
      <w:r w:rsidRPr="002127DF">
        <w:rPr>
          <w:rStyle w:val="tlid-translation"/>
          <w:rFonts w:hint="eastAsia"/>
          <w:sz w:val="30"/>
          <w:szCs w:val="30"/>
        </w:rPr>
        <w:t>并没有将从投资者处募集的资金用于</w:t>
      </w:r>
      <w:proofErr w:type="spellStart"/>
      <w:r w:rsidRPr="002127DF">
        <w:rPr>
          <w:rStyle w:val="tlid-translation"/>
          <w:rFonts w:hint="eastAsia"/>
          <w:sz w:val="30"/>
          <w:szCs w:val="30"/>
        </w:rPr>
        <w:t>Kizzang</w:t>
      </w:r>
      <w:proofErr w:type="spellEnd"/>
      <w:r w:rsidRPr="002127DF">
        <w:rPr>
          <w:rStyle w:val="tlid-translation"/>
          <w:rFonts w:hint="eastAsia"/>
          <w:sz w:val="30"/>
          <w:szCs w:val="30"/>
        </w:rPr>
        <w:t>业务，而是挪用了至少</w:t>
      </w:r>
      <w:r w:rsidRPr="002127DF">
        <w:rPr>
          <w:rStyle w:val="tlid-translation"/>
          <w:rFonts w:hint="eastAsia"/>
          <w:sz w:val="30"/>
          <w:szCs w:val="30"/>
        </w:rPr>
        <w:t>130</w:t>
      </w:r>
      <w:r w:rsidRPr="002127DF">
        <w:rPr>
          <w:rStyle w:val="tlid-translation"/>
          <w:rFonts w:hint="eastAsia"/>
          <w:sz w:val="30"/>
          <w:szCs w:val="30"/>
        </w:rPr>
        <w:t>万美元，将其中超过</w:t>
      </w:r>
      <w:r w:rsidRPr="002127DF">
        <w:rPr>
          <w:rStyle w:val="tlid-translation"/>
          <w:rFonts w:hint="eastAsia"/>
          <w:sz w:val="30"/>
          <w:szCs w:val="30"/>
        </w:rPr>
        <w:t>45</w:t>
      </w:r>
      <w:r w:rsidRPr="002127DF">
        <w:rPr>
          <w:rStyle w:val="tlid-translation"/>
          <w:rFonts w:hint="eastAsia"/>
          <w:sz w:val="30"/>
          <w:szCs w:val="30"/>
        </w:rPr>
        <w:t>万美元用于赌博，其他资金则用于其日常生活和其他个人开销。</w:t>
      </w:r>
    </w:p>
    <w:p w:rsidR="00596D15" w:rsidRPr="002127DF" w:rsidRDefault="00596D15" w:rsidP="00596D15">
      <w:pPr>
        <w:ind w:firstLineChars="200" w:firstLine="600"/>
        <w:jc w:val="both"/>
        <w:rPr>
          <w:rStyle w:val="tlid-translation"/>
          <w:sz w:val="30"/>
          <w:szCs w:val="30"/>
        </w:rPr>
      </w:pPr>
      <w:r w:rsidRPr="002127DF">
        <w:rPr>
          <w:rStyle w:val="tlid-translation"/>
          <w:rFonts w:hint="eastAsia"/>
          <w:sz w:val="30"/>
          <w:szCs w:val="30"/>
        </w:rPr>
        <w:t>SEC</w:t>
      </w:r>
      <w:proofErr w:type="gramStart"/>
      <w:r w:rsidRPr="002127DF">
        <w:rPr>
          <w:rStyle w:val="tlid-translation"/>
          <w:rFonts w:hint="eastAsia"/>
          <w:sz w:val="30"/>
          <w:szCs w:val="30"/>
        </w:rPr>
        <w:t>执法部</w:t>
      </w:r>
      <w:proofErr w:type="gramEnd"/>
      <w:r w:rsidRPr="002127DF">
        <w:rPr>
          <w:rStyle w:val="tlid-translation"/>
          <w:rFonts w:hint="eastAsia"/>
          <w:sz w:val="30"/>
          <w:szCs w:val="30"/>
        </w:rPr>
        <w:t>副主任</w:t>
      </w:r>
      <w:r w:rsidRPr="002127DF">
        <w:rPr>
          <w:rStyle w:val="tlid-translation"/>
          <w:rFonts w:hint="eastAsia"/>
          <w:sz w:val="30"/>
          <w:szCs w:val="30"/>
        </w:rPr>
        <w:t xml:space="preserve">Carolyn </w:t>
      </w:r>
      <w:proofErr w:type="spellStart"/>
      <w:r w:rsidRPr="002127DF">
        <w:rPr>
          <w:rStyle w:val="tlid-translation"/>
          <w:rFonts w:hint="eastAsia"/>
          <w:sz w:val="30"/>
          <w:szCs w:val="30"/>
        </w:rPr>
        <w:t>Welshhans</w:t>
      </w:r>
      <w:proofErr w:type="spellEnd"/>
      <w:r w:rsidR="00473320" w:rsidRPr="002127DF">
        <w:rPr>
          <w:rStyle w:val="tlid-translation"/>
          <w:rFonts w:hint="eastAsia"/>
          <w:sz w:val="30"/>
          <w:szCs w:val="30"/>
        </w:rPr>
        <w:t>表示，</w:t>
      </w:r>
      <w:r w:rsidRPr="002127DF">
        <w:rPr>
          <w:rStyle w:val="tlid-translation"/>
          <w:rFonts w:hint="eastAsia"/>
          <w:sz w:val="30"/>
          <w:szCs w:val="30"/>
        </w:rPr>
        <w:t>Alexander</w:t>
      </w:r>
      <w:r w:rsidRPr="002127DF">
        <w:rPr>
          <w:rStyle w:val="tlid-translation"/>
          <w:rFonts w:hint="eastAsia"/>
          <w:sz w:val="30"/>
          <w:szCs w:val="30"/>
        </w:rPr>
        <w:t>宣称</w:t>
      </w:r>
      <w:proofErr w:type="spellStart"/>
      <w:r w:rsidRPr="002127DF">
        <w:rPr>
          <w:rStyle w:val="tlid-translation"/>
          <w:rFonts w:hint="eastAsia"/>
          <w:sz w:val="30"/>
          <w:szCs w:val="30"/>
        </w:rPr>
        <w:t>Kizzang</w:t>
      </w:r>
      <w:proofErr w:type="spellEnd"/>
      <w:r w:rsidRPr="002127DF">
        <w:rPr>
          <w:rStyle w:val="tlid-translation"/>
          <w:rFonts w:hint="eastAsia"/>
          <w:sz w:val="30"/>
          <w:szCs w:val="30"/>
        </w:rPr>
        <w:t>是投资者的机会，可以使其从处于早期技术初创阶段的企业的成功中获利。而事实上，</w:t>
      </w:r>
      <w:r w:rsidRPr="002127DF">
        <w:rPr>
          <w:rStyle w:val="tlid-translation"/>
          <w:rFonts w:hint="eastAsia"/>
          <w:sz w:val="30"/>
          <w:szCs w:val="30"/>
        </w:rPr>
        <w:t>Alexander</w:t>
      </w:r>
      <w:r w:rsidRPr="002127DF">
        <w:rPr>
          <w:rStyle w:val="tlid-translation"/>
          <w:rFonts w:hint="eastAsia"/>
          <w:sz w:val="30"/>
          <w:szCs w:val="30"/>
        </w:rPr>
        <w:t>肆无忌惮地将投资收益转换为其个人使用，甚至有</w:t>
      </w:r>
      <w:r w:rsidR="00473320" w:rsidRPr="002127DF">
        <w:rPr>
          <w:rStyle w:val="tlid-translation"/>
          <w:rFonts w:hint="eastAsia"/>
          <w:sz w:val="30"/>
          <w:szCs w:val="30"/>
        </w:rPr>
        <w:t>时是在收到投资者资金的几天内就进行挪用。</w:t>
      </w:r>
    </w:p>
    <w:p w:rsidR="00596D15" w:rsidRPr="002127DF" w:rsidRDefault="00596D15" w:rsidP="00596D15">
      <w:pPr>
        <w:ind w:firstLineChars="200" w:firstLine="600"/>
        <w:jc w:val="both"/>
        <w:rPr>
          <w:rStyle w:val="tlid-translation"/>
          <w:sz w:val="30"/>
          <w:szCs w:val="30"/>
        </w:rPr>
      </w:pPr>
      <w:r w:rsidRPr="002127DF">
        <w:rPr>
          <w:rStyle w:val="tlid-translation"/>
          <w:rFonts w:hint="eastAsia"/>
          <w:sz w:val="30"/>
          <w:szCs w:val="30"/>
        </w:rPr>
        <w:t>SEC</w:t>
      </w:r>
      <w:r w:rsidRPr="002127DF">
        <w:rPr>
          <w:rStyle w:val="tlid-translation"/>
          <w:rFonts w:hint="eastAsia"/>
          <w:sz w:val="30"/>
          <w:szCs w:val="30"/>
        </w:rPr>
        <w:t>在纽约南区美国地方法院提起的诉讼中指控</w:t>
      </w:r>
      <w:r w:rsidRPr="002127DF">
        <w:rPr>
          <w:rStyle w:val="tlid-translation"/>
          <w:rFonts w:hint="eastAsia"/>
          <w:sz w:val="30"/>
          <w:szCs w:val="30"/>
        </w:rPr>
        <w:t>Alexander</w:t>
      </w:r>
      <w:r w:rsidRPr="002127DF">
        <w:rPr>
          <w:rStyle w:val="tlid-translation"/>
          <w:rFonts w:hint="eastAsia"/>
          <w:sz w:val="30"/>
          <w:szCs w:val="30"/>
        </w:rPr>
        <w:t>和</w:t>
      </w:r>
      <w:proofErr w:type="spellStart"/>
      <w:r w:rsidRPr="002127DF">
        <w:rPr>
          <w:rStyle w:val="tlid-translation"/>
          <w:rFonts w:hint="eastAsia"/>
          <w:sz w:val="30"/>
          <w:szCs w:val="30"/>
        </w:rPr>
        <w:t>Kizzang</w:t>
      </w:r>
      <w:proofErr w:type="spellEnd"/>
      <w:r w:rsidRPr="002127DF">
        <w:rPr>
          <w:rStyle w:val="tlid-translation"/>
          <w:rFonts w:hint="eastAsia"/>
          <w:sz w:val="30"/>
          <w:szCs w:val="30"/>
        </w:rPr>
        <w:t>违反了《证券法》和《证券交易法》中的反欺诈条款，并诉请批准永久性禁令、民事罚款和不当得利返还。对此，美国纽约南区检察官办公室已宣布对</w:t>
      </w:r>
      <w:r w:rsidRPr="002127DF">
        <w:rPr>
          <w:rStyle w:val="tlid-translation"/>
          <w:rFonts w:hint="eastAsia"/>
          <w:sz w:val="30"/>
          <w:szCs w:val="30"/>
        </w:rPr>
        <w:t>Alexander</w:t>
      </w:r>
      <w:r w:rsidRPr="002127DF">
        <w:rPr>
          <w:rStyle w:val="tlid-translation"/>
          <w:rFonts w:hint="eastAsia"/>
          <w:sz w:val="30"/>
          <w:szCs w:val="30"/>
        </w:rPr>
        <w:t>提出刑事指控。</w:t>
      </w:r>
    </w:p>
    <w:p w:rsidR="00596D15" w:rsidRPr="002127DF" w:rsidRDefault="00596D15" w:rsidP="00FC0BC5">
      <w:pPr>
        <w:ind w:firstLineChars="200" w:firstLine="600"/>
        <w:rPr>
          <w:sz w:val="30"/>
          <w:szCs w:val="30"/>
        </w:rPr>
      </w:pPr>
      <w:r w:rsidRPr="002127DF">
        <w:rPr>
          <w:rStyle w:val="tlid-translation"/>
          <w:rFonts w:hint="eastAsia"/>
          <w:sz w:val="30"/>
          <w:szCs w:val="30"/>
        </w:rPr>
        <w:t>网址链接：</w:t>
      </w:r>
      <w:r w:rsidR="009D05E8" w:rsidRPr="002127DF">
        <w:fldChar w:fldCharType="begin"/>
      </w:r>
      <w:r w:rsidR="00EE7256" w:rsidRPr="002127DF">
        <w:instrText>HYPERLINK "https://www.sec.gov/news/press-release/2019-8"</w:instrText>
      </w:r>
      <w:r w:rsidR="009D05E8" w:rsidRPr="002127DF">
        <w:fldChar w:fldCharType="separate"/>
      </w:r>
      <w:r w:rsidRPr="002127DF">
        <w:rPr>
          <w:rStyle w:val="a8"/>
          <w:rFonts w:hint="eastAsia"/>
          <w:sz w:val="30"/>
          <w:szCs w:val="30"/>
        </w:rPr>
        <w:t>https://www.sec.gov/news/press-release/2019-8</w:t>
      </w:r>
      <w:r w:rsidR="009D05E8" w:rsidRPr="002127DF">
        <w:fldChar w:fldCharType="end"/>
      </w:r>
    </w:p>
    <w:p w:rsidR="00596D15" w:rsidRPr="002127DF" w:rsidRDefault="00596D15" w:rsidP="00596D15">
      <w:pPr>
        <w:rPr>
          <w:rStyle w:val="a8"/>
          <w:color w:val="000000" w:themeColor="text1"/>
          <w:sz w:val="30"/>
          <w:szCs w:val="30"/>
        </w:rPr>
      </w:pPr>
    </w:p>
    <w:p w:rsidR="00596D15" w:rsidRPr="002127DF" w:rsidRDefault="00485222" w:rsidP="00271F14">
      <w:pPr>
        <w:spacing w:beforeLines="100" w:afterLines="100"/>
        <w:outlineLvl w:val="1"/>
        <w:rPr>
          <w:rStyle w:val="tlid-translation"/>
          <w:rFonts w:eastAsiaTheme="majorEastAsia"/>
          <w:b/>
          <w:sz w:val="30"/>
          <w:szCs w:val="30"/>
        </w:rPr>
      </w:pPr>
      <w:r w:rsidRPr="002127DF">
        <w:rPr>
          <w:rFonts w:eastAsiaTheme="majorEastAsia" w:hint="eastAsia"/>
          <w:b/>
          <w:color w:val="000000" w:themeColor="text1"/>
          <w:sz w:val="30"/>
          <w:szCs w:val="30"/>
        </w:rPr>
        <w:t>SEC</w:t>
      </w:r>
      <w:r w:rsidR="00596D15" w:rsidRPr="002127DF">
        <w:rPr>
          <w:rFonts w:eastAsiaTheme="majorEastAsia" w:hAnsiTheme="majorEastAsia" w:hint="eastAsia"/>
          <w:b/>
          <w:color w:val="000000" w:themeColor="text1"/>
          <w:sz w:val="30"/>
          <w:szCs w:val="30"/>
        </w:rPr>
        <w:t>：</w:t>
      </w:r>
      <w:r w:rsidR="00596D15" w:rsidRPr="002127DF">
        <w:rPr>
          <w:rStyle w:val="tlid-translation"/>
          <w:rFonts w:eastAsiaTheme="majorEastAsia" w:hAnsiTheme="majorEastAsia" w:hint="eastAsia"/>
          <w:b/>
          <w:sz w:val="30"/>
          <w:szCs w:val="30"/>
        </w:rPr>
        <w:t>叫停</w:t>
      </w:r>
      <w:r w:rsidR="00596D15" w:rsidRPr="002127DF">
        <w:rPr>
          <w:rStyle w:val="tlid-translation"/>
          <w:rFonts w:eastAsiaTheme="majorEastAsia" w:hAnsiTheme="majorEastAsia"/>
          <w:b/>
          <w:sz w:val="30"/>
          <w:szCs w:val="30"/>
        </w:rPr>
        <w:t>针对</w:t>
      </w:r>
      <w:r w:rsidR="00596D15" w:rsidRPr="002127DF">
        <w:rPr>
          <w:rStyle w:val="tlid-translation"/>
          <w:rFonts w:eastAsiaTheme="majorEastAsia" w:hAnsiTheme="majorEastAsia" w:hint="eastAsia"/>
          <w:b/>
          <w:sz w:val="30"/>
          <w:szCs w:val="30"/>
        </w:rPr>
        <w:t>中小</w:t>
      </w:r>
      <w:r w:rsidR="00596D15" w:rsidRPr="002127DF">
        <w:rPr>
          <w:rStyle w:val="tlid-translation"/>
          <w:rFonts w:eastAsiaTheme="majorEastAsia" w:hAnsiTheme="majorEastAsia"/>
          <w:b/>
          <w:sz w:val="30"/>
          <w:szCs w:val="30"/>
        </w:rPr>
        <w:t>投资者的南佛罗里达州</w:t>
      </w:r>
      <w:r w:rsidR="00596D15" w:rsidRPr="002127DF">
        <w:rPr>
          <w:rStyle w:val="tlid-translation"/>
          <w:rFonts w:eastAsiaTheme="majorEastAsia" w:hAnsiTheme="majorEastAsia" w:hint="eastAsia"/>
          <w:b/>
          <w:sz w:val="30"/>
          <w:szCs w:val="30"/>
        </w:rPr>
        <w:t>替代性</w:t>
      </w:r>
      <w:r w:rsidR="00596D15" w:rsidRPr="002127DF">
        <w:rPr>
          <w:rStyle w:val="tlid-translation"/>
          <w:rFonts w:eastAsiaTheme="majorEastAsia" w:hAnsiTheme="majorEastAsia"/>
          <w:b/>
          <w:sz w:val="30"/>
          <w:szCs w:val="30"/>
        </w:rPr>
        <w:t>投资</w:t>
      </w:r>
      <w:r w:rsidR="00596D15" w:rsidRPr="002127DF">
        <w:rPr>
          <w:rStyle w:val="tlid-translation"/>
          <w:rFonts w:eastAsiaTheme="majorEastAsia" w:hAnsiTheme="majorEastAsia" w:hint="eastAsia"/>
          <w:b/>
          <w:sz w:val="30"/>
          <w:szCs w:val="30"/>
        </w:rPr>
        <w:t>计划，保护投资者权益</w:t>
      </w:r>
    </w:p>
    <w:p w:rsidR="00596D15" w:rsidRPr="002127DF" w:rsidRDefault="00596D15" w:rsidP="00596D15">
      <w:pPr>
        <w:ind w:firstLineChars="200" w:firstLine="600"/>
        <w:rPr>
          <w:rStyle w:val="tlid-translation"/>
          <w:sz w:val="30"/>
          <w:szCs w:val="30"/>
        </w:rPr>
      </w:pPr>
      <w:r w:rsidRPr="002127DF">
        <w:rPr>
          <w:rStyle w:val="tlid-translation"/>
          <w:rFonts w:hint="eastAsia"/>
          <w:sz w:val="30"/>
          <w:szCs w:val="30"/>
        </w:rPr>
        <w:t>2019</w:t>
      </w:r>
      <w:r w:rsidRPr="002127DF">
        <w:rPr>
          <w:rStyle w:val="tlid-translation"/>
          <w:rFonts w:hint="eastAsia"/>
          <w:sz w:val="30"/>
          <w:szCs w:val="30"/>
        </w:rPr>
        <w:t>年</w:t>
      </w:r>
      <w:r w:rsidRPr="002127DF">
        <w:rPr>
          <w:rStyle w:val="tlid-translation"/>
          <w:rFonts w:hint="eastAsia"/>
          <w:sz w:val="30"/>
          <w:szCs w:val="30"/>
        </w:rPr>
        <w:t>2</w:t>
      </w:r>
      <w:r w:rsidRPr="002127DF">
        <w:rPr>
          <w:rStyle w:val="tlid-translation"/>
          <w:rFonts w:hint="eastAsia"/>
          <w:sz w:val="30"/>
          <w:szCs w:val="30"/>
        </w:rPr>
        <w:t>月</w:t>
      </w:r>
      <w:r w:rsidRPr="002127DF">
        <w:rPr>
          <w:rStyle w:val="tlid-translation"/>
          <w:rFonts w:hint="eastAsia"/>
          <w:sz w:val="30"/>
          <w:szCs w:val="30"/>
        </w:rPr>
        <w:t>16</w:t>
      </w:r>
      <w:r w:rsidR="00485222" w:rsidRPr="002127DF">
        <w:rPr>
          <w:rStyle w:val="tlid-translation"/>
          <w:rFonts w:hint="eastAsia"/>
          <w:sz w:val="30"/>
          <w:szCs w:val="30"/>
        </w:rPr>
        <w:t>日，</w:t>
      </w:r>
      <w:r w:rsidRPr="002127DF">
        <w:rPr>
          <w:rStyle w:val="tlid-translation"/>
          <w:rFonts w:hint="eastAsia"/>
          <w:sz w:val="30"/>
          <w:szCs w:val="30"/>
        </w:rPr>
        <w:t>SEC</w:t>
      </w:r>
      <w:r w:rsidRPr="002127DF">
        <w:rPr>
          <w:rStyle w:val="tlid-translation"/>
          <w:rFonts w:hint="eastAsia"/>
          <w:sz w:val="30"/>
          <w:szCs w:val="30"/>
        </w:rPr>
        <w:t>公布了针对南佛罗里达州投资基金计划运营商欺诈指控和资产冻结的决定，其中一人可能会被判</w:t>
      </w:r>
      <w:r w:rsidRPr="002127DF">
        <w:rPr>
          <w:rStyle w:val="tlid-translation"/>
          <w:rFonts w:hint="eastAsia"/>
          <w:sz w:val="30"/>
          <w:szCs w:val="30"/>
        </w:rPr>
        <w:t>20</w:t>
      </w:r>
      <w:r w:rsidRPr="002127DF">
        <w:rPr>
          <w:rStyle w:val="tlid-translation"/>
          <w:rFonts w:hint="eastAsia"/>
          <w:sz w:val="30"/>
          <w:szCs w:val="30"/>
        </w:rPr>
        <w:t>年以上的重罚。</w:t>
      </w:r>
    </w:p>
    <w:p w:rsidR="00596D15" w:rsidRPr="002127DF" w:rsidRDefault="00596D15" w:rsidP="00596D15">
      <w:pPr>
        <w:ind w:firstLineChars="200" w:firstLine="600"/>
        <w:jc w:val="both"/>
        <w:rPr>
          <w:rStyle w:val="tlid-translation"/>
          <w:sz w:val="30"/>
          <w:szCs w:val="30"/>
        </w:rPr>
      </w:pPr>
      <w:r w:rsidRPr="002127DF">
        <w:rPr>
          <w:rStyle w:val="tlid-translation"/>
          <w:rFonts w:hint="eastAsia"/>
          <w:sz w:val="30"/>
          <w:szCs w:val="30"/>
        </w:rPr>
        <w:lastRenderedPageBreak/>
        <w:t>SEC</w:t>
      </w:r>
      <w:r w:rsidRPr="002127DF">
        <w:rPr>
          <w:rStyle w:val="tlid-translation"/>
          <w:rFonts w:hint="eastAsia"/>
          <w:sz w:val="30"/>
          <w:szCs w:val="30"/>
        </w:rPr>
        <w:t>在联邦地方法院对</w:t>
      </w:r>
      <w:r w:rsidRPr="002127DF">
        <w:rPr>
          <w:rStyle w:val="tlid-translation"/>
          <w:rFonts w:hint="eastAsia"/>
          <w:sz w:val="30"/>
          <w:szCs w:val="30"/>
        </w:rPr>
        <w:t>Castleberry</w:t>
      </w:r>
      <w:r w:rsidRPr="002127DF">
        <w:rPr>
          <w:rStyle w:val="tlid-translation"/>
          <w:rFonts w:hint="eastAsia"/>
          <w:sz w:val="30"/>
          <w:szCs w:val="30"/>
        </w:rPr>
        <w:t>金融服务集团有限责任公司、总裁</w:t>
      </w:r>
      <w:r w:rsidRPr="002127DF">
        <w:rPr>
          <w:rStyle w:val="tlid-translation"/>
          <w:rFonts w:hint="eastAsia"/>
          <w:sz w:val="30"/>
          <w:szCs w:val="30"/>
        </w:rPr>
        <w:t>T. Jonathon Turner</w:t>
      </w:r>
      <w:r w:rsidRPr="002127DF">
        <w:rPr>
          <w:rStyle w:val="tlid-translation"/>
          <w:rFonts w:hint="eastAsia"/>
          <w:sz w:val="30"/>
          <w:szCs w:val="30"/>
        </w:rPr>
        <w:t>和首席执行官</w:t>
      </w:r>
      <w:r w:rsidRPr="002127DF">
        <w:rPr>
          <w:rStyle w:val="tlid-translation"/>
          <w:rFonts w:hint="eastAsia"/>
          <w:sz w:val="30"/>
          <w:szCs w:val="30"/>
        </w:rPr>
        <w:t xml:space="preserve">Norman M. </w:t>
      </w:r>
      <w:proofErr w:type="spellStart"/>
      <w:r w:rsidRPr="002127DF">
        <w:rPr>
          <w:rStyle w:val="tlid-translation"/>
          <w:rFonts w:hint="eastAsia"/>
          <w:sz w:val="30"/>
          <w:szCs w:val="30"/>
        </w:rPr>
        <w:t>Strell</w:t>
      </w:r>
      <w:proofErr w:type="spellEnd"/>
      <w:r w:rsidRPr="002127DF">
        <w:rPr>
          <w:rStyle w:val="tlid-translation"/>
          <w:rFonts w:hint="eastAsia"/>
          <w:sz w:val="30"/>
          <w:szCs w:val="30"/>
        </w:rPr>
        <w:t>提起紧急诉讼，指控他们在过去一年中对投资者进行金额超过</w:t>
      </w:r>
      <w:r w:rsidRPr="002127DF">
        <w:rPr>
          <w:rStyle w:val="tlid-translation"/>
          <w:rFonts w:hint="eastAsia"/>
          <w:sz w:val="30"/>
          <w:szCs w:val="30"/>
        </w:rPr>
        <w:t>360</w:t>
      </w:r>
      <w:r w:rsidRPr="002127DF">
        <w:rPr>
          <w:rStyle w:val="tlid-translation"/>
          <w:rFonts w:hint="eastAsia"/>
          <w:sz w:val="30"/>
          <w:szCs w:val="30"/>
        </w:rPr>
        <w:t>万美元的欺诈。根据</w:t>
      </w:r>
      <w:r w:rsidRPr="002127DF">
        <w:rPr>
          <w:rStyle w:val="tlid-translation"/>
          <w:rFonts w:hint="eastAsia"/>
          <w:sz w:val="30"/>
          <w:szCs w:val="30"/>
        </w:rPr>
        <w:t>SEC</w:t>
      </w:r>
      <w:r w:rsidRPr="002127DF">
        <w:rPr>
          <w:rStyle w:val="tlid-translation"/>
          <w:rFonts w:hint="eastAsia"/>
          <w:sz w:val="30"/>
          <w:szCs w:val="30"/>
        </w:rPr>
        <w:t>于</w:t>
      </w:r>
      <w:r w:rsidRPr="002127DF">
        <w:rPr>
          <w:rStyle w:val="tlid-translation"/>
          <w:rFonts w:hint="eastAsia"/>
          <w:sz w:val="30"/>
          <w:szCs w:val="30"/>
        </w:rPr>
        <w:t>2019</w:t>
      </w:r>
      <w:r w:rsidRPr="002127DF">
        <w:rPr>
          <w:rStyle w:val="tlid-translation"/>
          <w:rFonts w:hint="eastAsia"/>
          <w:sz w:val="30"/>
          <w:szCs w:val="30"/>
        </w:rPr>
        <w:t>年</w:t>
      </w:r>
      <w:r w:rsidRPr="002127DF">
        <w:rPr>
          <w:rStyle w:val="tlid-translation"/>
          <w:rFonts w:hint="eastAsia"/>
          <w:sz w:val="30"/>
          <w:szCs w:val="30"/>
        </w:rPr>
        <w:t>2</w:t>
      </w:r>
      <w:r w:rsidRPr="002127DF">
        <w:rPr>
          <w:rStyle w:val="tlid-translation"/>
          <w:rFonts w:hint="eastAsia"/>
          <w:sz w:val="30"/>
          <w:szCs w:val="30"/>
        </w:rPr>
        <w:t>月</w:t>
      </w:r>
      <w:r w:rsidRPr="002127DF">
        <w:rPr>
          <w:rStyle w:val="tlid-translation"/>
          <w:rFonts w:hint="eastAsia"/>
          <w:sz w:val="30"/>
          <w:szCs w:val="30"/>
        </w:rPr>
        <w:t>25</w:t>
      </w:r>
      <w:r w:rsidRPr="002127DF">
        <w:rPr>
          <w:rStyle w:val="tlid-translation"/>
          <w:rFonts w:hint="eastAsia"/>
          <w:sz w:val="30"/>
          <w:szCs w:val="30"/>
        </w:rPr>
        <w:t>日公布的诉讼材料，</w:t>
      </w:r>
      <w:r w:rsidRPr="002127DF">
        <w:rPr>
          <w:rStyle w:val="tlid-translation"/>
          <w:rFonts w:hint="eastAsia"/>
          <w:sz w:val="30"/>
          <w:szCs w:val="30"/>
        </w:rPr>
        <w:t>Castleberry</w:t>
      </w:r>
      <w:r w:rsidRPr="002127DF">
        <w:rPr>
          <w:rStyle w:val="tlid-translation"/>
          <w:rFonts w:hint="eastAsia"/>
          <w:sz w:val="30"/>
          <w:szCs w:val="30"/>
        </w:rPr>
        <w:t>曾误导性地向投资者表示，它将数亿美元资金投资于当地企业和数百个投资物业组合，并声称可以提供高收益率，同时，其已通过</w:t>
      </w:r>
      <w:r w:rsidRPr="002127DF">
        <w:rPr>
          <w:rStyle w:val="tlid-translation"/>
          <w:rFonts w:hint="eastAsia"/>
          <w:sz w:val="30"/>
          <w:szCs w:val="30"/>
        </w:rPr>
        <w:t>CNA</w:t>
      </w:r>
      <w:r w:rsidRPr="002127DF">
        <w:rPr>
          <w:rStyle w:val="tlid-translation"/>
          <w:rFonts w:hint="eastAsia"/>
          <w:sz w:val="30"/>
          <w:szCs w:val="30"/>
        </w:rPr>
        <w:t>金融公司和</w:t>
      </w:r>
      <w:r w:rsidRPr="002127DF">
        <w:rPr>
          <w:rStyle w:val="tlid-translation"/>
          <w:rFonts w:hint="eastAsia"/>
          <w:sz w:val="30"/>
          <w:szCs w:val="30"/>
        </w:rPr>
        <w:t>Chubb</w:t>
      </w:r>
      <w:r w:rsidRPr="002127DF">
        <w:rPr>
          <w:rStyle w:val="tlid-translation"/>
          <w:rFonts w:hint="eastAsia"/>
          <w:sz w:val="30"/>
          <w:szCs w:val="30"/>
        </w:rPr>
        <w:t>集团获得“完全保险和保税”来保护投资者的本金。然而，在当时，保险公司与</w:t>
      </w:r>
      <w:r w:rsidRPr="002127DF">
        <w:rPr>
          <w:rStyle w:val="tlid-translation"/>
          <w:rFonts w:hint="eastAsia"/>
          <w:sz w:val="30"/>
          <w:szCs w:val="30"/>
        </w:rPr>
        <w:t>Castleberry</w:t>
      </w:r>
      <w:r w:rsidRPr="002127DF">
        <w:rPr>
          <w:rStyle w:val="tlid-translation"/>
          <w:rFonts w:hint="eastAsia"/>
          <w:sz w:val="30"/>
          <w:szCs w:val="30"/>
        </w:rPr>
        <w:t>并未建立任何关系，且未授权</w:t>
      </w:r>
      <w:r w:rsidRPr="002127DF">
        <w:rPr>
          <w:rStyle w:val="tlid-translation"/>
          <w:rFonts w:hint="eastAsia"/>
          <w:sz w:val="30"/>
          <w:szCs w:val="30"/>
        </w:rPr>
        <w:t>Castleberry</w:t>
      </w:r>
      <w:r w:rsidRPr="002127DF">
        <w:rPr>
          <w:rStyle w:val="tlid-translation"/>
          <w:rFonts w:hint="eastAsia"/>
          <w:sz w:val="30"/>
          <w:szCs w:val="30"/>
        </w:rPr>
        <w:t>在其销售中使用保险公司的标识。</w:t>
      </w:r>
    </w:p>
    <w:p w:rsidR="00596D15" w:rsidRPr="002127DF" w:rsidRDefault="00596D15" w:rsidP="00596D15">
      <w:pPr>
        <w:ind w:firstLineChars="200" w:firstLine="600"/>
        <w:jc w:val="both"/>
        <w:rPr>
          <w:rStyle w:val="tlid-translation"/>
          <w:sz w:val="30"/>
          <w:szCs w:val="30"/>
        </w:rPr>
      </w:pPr>
      <w:r w:rsidRPr="002127DF">
        <w:rPr>
          <w:rStyle w:val="tlid-translation"/>
          <w:rFonts w:hint="eastAsia"/>
          <w:sz w:val="30"/>
          <w:szCs w:val="30"/>
        </w:rPr>
        <w:t>SEC</w:t>
      </w:r>
      <w:r w:rsidRPr="002127DF">
        <w:rPr>
          <w:rStyle w:val="tlid-translation"/>
          <w:rFonts w:hint="eastAsia"/>
          <w:sz w:val="30"/>
          <w:szCs w:val="30"/>
        </w:rPr>
        <w:t>诉称，作为公司高管的</w:t>
      </w:r>
      <w:r w:rsidRPr="002127DF">
        <w:rPr>
          <w:rFonts w:hint="eastAsia"/>
          <w:sz w:val="30"/>
          <w:szCs w:val="30"/>
        </w:rPr>
        <w:t>Turner</w:t>
      </w:r>
      <w:r w:rsidRPr="002127DF">
        <w:rPr>
          <w:rFonts w:hint="eastAsia"/>
          <w:sz w:val="30"/>
          <w:szCs w:val="30"/>
        </w:rPr>
        <w:t>和</w:t>
      </w:r>
      <w:proofErr w:type="spellStart"/>
      <w:r w:rsidRPr="002127DF">
        <w:rPr>
          <w:rFonts w:hint="eastAsia"/>
          <w:sz w:val="30"/>
          <w:szCs w:val="30"/>
        </w:rPr>
        <w:t>Strel</w:t>
      </w:r>
      <w:r w:rsidR="00271F14">
        <w:rPr>
          <w:rFonts w:hint="eastAsia"/>
          <w:sz w:val="30"/>
          <w:szCs w:val="30"/>
        </w:rPr>
        <w:t>l</w:t>
      </w:r>
      <w:proofErr w:type="spellEnd"/>
      <w:r w:rsidRPr="002127DF">
        <w:rPr>
          <w:rStyle w:val="tlid-translation"/>
          <w:rFonts w:hint="eastAsia"/>
          <w:sz w:val="30"/>
          <w:szCs w:val="30"/>
        </w:rPr>
        <w:t>挪用了投资者的资金用于个人开支，并将其他资金转移给其所控制的企业和家庭成员。此外，</w:t>
      </w:r>
      <w:r w:rsidRPr="002127DF">
        <w:rPr>
          <w:rStyle w:val="tlid-translation"/>
          <w:rFonts w:hint="eastAsia"/>
          <w:sz w:val="30"/>
          <w:szCs w:val="30"/>
        </w:rPr>
        <w:t>Castleberry</w:t>
      </w:r>
      <w:r w:rsidRPr="002127DF">
        <w:rPr>
          <w:rStyle w:val="tlid-translation"/>
          <w:rFonts w:hint="eastAsia"/>
          <w:sz w:val="30"/>
          <w:szCs w:val="30"/>
        </w:rPr>
        <w:t>在其网站和宣传材料中虚构了</w:t>
      </w:r>
      <w:r w:rsidRPr="002127DF">
        <w:rPr>
          <w:rFonts w:hint="eastAsia"/>
          <w:sz w:val="30"/>
          <w:szCs w:val="30"/>
        </w:rPr>
        <w:t>Turner</w:t>
      </w:r>
      <w:r w:rsidRPr="002127DF">
        <w:rPr>
          <w:rStyle w:val="tlid-translation"/>
          <w:rFonts w:hint="eastAsia"/>
          <w:sz w:val="30"/>
          <w:szCs w:val="30"/>
        </w:rPr>
        <w:t>拥有丰富的金融行业经验、工商管理硕士学位和法律学位，同时，隐瞒了</w:t>
      </w:r>
      <w:r w:rsidRPr="002127DF">
        <w:rPr>
          <w:rFonts w:hint="eastAsia"/>
          <w:sz w:val="30"/>
          <w:szCs w:val="30"/>
        </w:rPr>
        <w:t>Turner</w:t>
      </w:r>
      <w:r w:rsidRPr="002127DF">
        <w:rPr>
          <w:rStyle w:val="tlid-translation"/>
          <w:rFonts w:hint="eastAsia"/>
          <w:sz w:val="30"/>
          <w:szCs w:val="30"/>
        </w:rPr>
        <w:t>已被判犯有多重欺诈、盗窃和伪造重罪的情况。</w:t>
      </w:r>
    </w:p>
    <w:p w:rsidR="00596D15" w:rsidRPr="002127DF" w:rsidRDefault="00596D15" w:rsidP="00596D15">
      <w:pPr>
        <w:ind w:firstLineChars="200" w:firstLine="600"/>
        <w:rPr>
          <w:rStyle w:val="tlid-translation"/>
          <w:sz w:val="30"/>
          <w:szCs w:val="30"/>
        </w:rPr>
      </w:pPr>
      <w:r w:rsidRPr="002127DF">
        <w:rPr>
          <w:rStyle w:val="tlid-translation"/>
          <w:rFonts w:hint="eastAsia"/>
          <w:sz w:val="30"/>
          <w:szCs w:val="30"/>
        </w:rPr>
        <w:t>目前，美国佛罗里达州南区地方法院的</w:t>
      </w:r>
      <w:r w:rsidRPr="002127DF">
        <w:rPr>
          <w:rFonts w:hint="eastAsia"/>
          <w:sz w:val="30"/>
          <w:szCs w:val="30"/>
        </w:rPr>
        <w:t xml:space="preserve"> Robin L. Rosenberg</w:t>
      </w:r>
      <w:r w:rsidRPr="002127DF">
        <w:rPr>
          <w:rStyle w:val="tlid-translation"/>
          <w:rFonts w:hint="eastAsia"/>
          <w:sz w:val="30"/>
          <w:szCs w:val="30"/>
        </w:rPr>
        <w:t>法官已批准了</w:t>
      </w:r>
      <w:r w:rsidRPr="002127DF">
        <w:rPr>
          <w:rStyle w:val="tlid-translation"/>
          <w:rFonts w:hint="eastAsia"/>
          <w:sz w:val="30"/>
          <w:szCs w:val="30"/>
        </w:rPr>
        <w:t>SEC</w:t>
      </w:r>
      <w:r w:rsidRPr="002127DF">
        <w:rPr>
          <w:rStyle w:val="tlid-translation"/>
          <w:rFonts w:hint="eastAsia"/>
          <w:sz w:val="30"/>
          <w:szCs w:val="30"/>
        </w:rPr>
        <w:t>要求对被告进行临时限制令和临时资产冻结的请求，并发</w:t>
      </w:r>
      <w:proofErr w:type="gramStart"/>
      <w:r w:rsidRPr="002127DF">
        <w:rPr>
          <w:rStyle w:val="tlid-translation"/>
          <w:rFonts w:hint="eastAsia"/>
          <w:sz w:val="30"/>
          <w:szCs w:val="30"/>
        </w:rPr>
        <w:t>出命令</w:t>
      </w:r>
      <w:proofErr w:type="gramEnd"/>
      <w:r w:rsidRPr="002127DF">
        <w:rPr>
          <w:rStyle w:val="tlid-translation"/>
          <w:rFonts w:hint="eastAsia"/>
          <w:sz w:val="30"/>
          <w:szCs w:val="30"/>
        </w:rPr>
        <w:t>指示被告提供宣誓会计材料。</w:t>
      </w:r>
    </w:p>
    <w:p w:rsidR="00596D15" w:rsidRPr="002127DF" w:rsidRDefault="00596D15" w:rsidP="00FC0BC5">
      <w:pPr>
        <w:ind w:firstLineChars="200" w:firstLine="600"/>
        <w:rPr>
          <w:sz w:val="30"/>
          <w:szCs w:val="30"/>
        </w:rPr>
      </w:pPr>
      <w:r w:rsidRPr="002127DF">
        <w:rPr>
          <w:rStyle w:val="tlid-translation"/>
          <w:rFonts w:hint="eastAsia"/>
          <w:sz w:val="30"/>
          <w:szCs w:val="30"/>
        </w:rPr>
        <w:t>网址链接：</w:t>
      </w:r>
      <w:r w:rsidR="009D05E8" w:rsidRPr="002127DF">
        <w:fldChar w:fldCharType="begin"/>
      </w:r>
      <w:r w:rsidR="00EE7256" w:rsidRPr="002127DF">
        <w:instrText>HYPERLINK "https://www.sec.gov/news/press-release/2019-19"</w:instrText>
      </w:r>
      <w:r w:rsidR="009D05E8" w:rsidRPr="002127DF">
        <w:fldChar w:fldCharType="separate"/>
      </w:r>
      <w:r w:rsidRPr="002127DF">
        <w:rPr>
          <w:rStyle w:val="a8"/>
          <w:rFonts w:hint="eastAsia"/>
          <w:sz w:val="30"/>
          <w:szCs w:val="30"/>
        </w:rPr>
        <w:t>https://www.sec.gov/news/press-release/2019-19</w:t>
      </w:r>
      <w:r w:rsidR="009D05E8" w:rsidRPr="002127DF">
        <w:fldChar w:fldCharType="end"/>
      </w:r>
    </w:p>
    <w:p w:rsidR="00596D15" w:rsidRPr="002127DF" w:rsidRDefault="00596D15" w:rsidP="00596D15">
      <w:pPr>
        <w:rPr>
          <w:rStyle w:val="a8"/>
          <w:color w:val="000000" w:themeColor="text1"/>
          <w:sz w:val="30"/>
          <w:szCs w:val="30"/>
        </w:rPr>
      </w:pPr>
    </w:p>
    <w:p w:rsidR="00596D15" w:rsidRPr="002127DF" w:rsidRDefault="00485222" w:rsidP="00271F14">
      <w:pPr>
        <w:spacing w:beforeLines="100" w:afterLines="100"/>
        <w:outlineLvl w:val="1"/>
        <w:rPr>
          <w:rStyle w:val="tlid-translation"/>
          <w:rFonts w:eastAsiaTheme="majorEastAsia"/>
          <w:b/>
          <w:color w:val="000000" w:themeColor="text1"/>
          <w:sz w:val="30"/>
          <w:szCs w:val="30"/>
        </w:rPr>
      </w:pPr>
      <w:r w:rsidRPr="002127DF">
        <w:rPr>
          <w:rFonts w:eastAsiaTheme="majorEastAsia" w:cs="Arial" w:hint="eastAsia"/>
          <w:b/>
          <w:color w:val="000000" w:themeColor="text1"/>
          <w:sz w:val="30"/>
          <w:szCs w:val="30"/>
          <w:shd w:val="clear" w:color="auto" w:fill="FFFFFF"/>
        </w:rPr>
        <w:t>CFTC</w:t>
      </w:r>
      <w:r w:rsidRPr="002127DF">
        <w:rPr>
          <w:rFonts w:eastAsiaTheme="majorEastAsia" w:hAnsiTheme="majorEastAsia" w:cs="Arial" w:hint="eastAsia"/>
          <w:b/>
          <w:color w:val="000000" w:themeColor="text1"/>
          <w:sz w:val="30"/>
          <w:szCs w:val="30"/>
          <w:shd w:val="clear" w:color="auto" w:fill="FFFFFF"/>
        </w:rPr>
        <w:t>：</w:t>
      </w:r>
      <w:r w:rsidR="00596D15" w:rsidRPr="002127DF">
        <w:rPr>
          <w:rStyle w:val="tlid-translation"/>
          <w:rFonts w:eastAsiaTheme="majorEastAsia" w:hAnsiTheme="majorEastAsia"/>
          <w:b/>
          <w:color w:val="000000" w:themeColor="text1"/>
          <w:sz w:val="30"/>
          <w:szCs w:val="30"/>
        </w:rPr>
        <w:t>联邦法院命令</w:t>
      </w:r>
      <w:r w:rsidR="00596D15" w:rsidRPr="002127DF">
        <w:rPr>
          <w:rStyle w:val="tlid-translation"/>
          <w:rFonts w:eastAsiaTheme="majorEastAsia" w:hint="eastAsia"/>
          <w:b/>
          <w:color w:val="000000" w:themeColor="text1"/>
          <w:sz w:val="30"/>
          <w:szCs w:val="30"/>
        </w:rPr>
        <w:t>Hong</w:t>
      </w:r>
      <w:r w:rsidR="00596D15" w:rsidRPr="002127DF">
        <w:rPr>
          <w:rStyle w:val="tlid-translation"/>
          <w:rFonts w:eastAsiaTheme="majorEastAsia" w:hAnsiTheme="majorEastAsia" w:hint="eastAsia"/>
          <w:b/>
          <w:color w:val="000000" w:themeColor="text1"/>
          <w:sz w:val="30"/>
          <w:szCs w:val="30"/>
        </w:rPr>
        <w:t>夫妇</w:t>
      </w:r>
      <w:r w:rsidR="00596D15" w:rsidRPr="002127DF">
        <w:rPr>
          <w:rStyle w:val="tlid-translation"/>
          <w:rFonts w:eastAsiaTheme="majorEastAsia" w:hAnsiTheme="majorEastAsia"/>
          <w:b/>
          <w:color w:val="000000" w:themeColor="text1"/>
          <w:sz w:val="30"/>
          <w:szCs w:val="30"/>
        </w:rPr>
        <w:t>及其公司</w:t>
      </w:r>
      <w:r w:rsidR="00596D15" w:rsidRPr="002127DF">
        <w:rPr>
          <w:rStyle w:val="tlid-translation"/>
          <w:rFonts w:eastAsiaTheme="majorEastAsia" w:hAnsiTheme="majorEastAsia" w:hint="eastAsia"/>
          <w:b/>
          <w:color w:val="000000" w:themeColor="text1"/>
          <w:sz w:val="30"/>
          <w:szCs w:val="30"/>
        </w:rPr>
        <w:t>向因其</w:t>
      </w:r>
      <w:r w:rsidR="00596D15" w:rsidRPr="002127DF">
        <w:rPr>
          <w:rStyle w:val="tlid-translation"/>
          <w:rFonts w:eastAsiaTheme="majorEastAsia" w:hAnsiTheme="majorEastAsia"/>
          <w:b/>
          <w:color w:val="000000" w:themeColor="text1"/>
          <w:sz w:val="30"/>
          <w:szCs w:val="30"/>
        </w:rPr>
        <w:t>期货交易计划</w:t>
      </w:r>
      <w:r w:rsidR="00596D15" w:rsidRPr="002127DF">
        <w:rPr>
          <w:rStyle w:val="tlid-translation"/>
          <w:rFonts w:eastAsiaTheme="majorEastAsia" w:hAnsiTheme="majorEastAsia" w:hint="eastAsia"/>
          <w:b/>
          <w:color w:val="000000" w:themeColor="text1"/>
          <w:sz w:val="30"/>
          <w:szCs w:val="30"/>
        </w:rPr>
        <w:t>受欺诈的客户</w:t>
      </w:r>
      <w:r w:rsidR="00596D15" w:rsidRPr="002127DF">
        <w:rPr>
          <w:rStyle w:val="tlid-translation"/>
          <w:rFonts w:eastAsiaTheme="majorEastAsia" w:hAnsiTheme="majorEastAsia"/>
          <w:b/>
          <w:color w:val="000000" w:themeColor="text1"/>
          <w:sz w:val="30"/>
          <w:szCs w:val="30"/>
        </w:rPr>
        <w:t>支付超过</w:t>
      </w:r>
      <w:r w:rsidR="00596D15" w:rsidRPr="002127DF">
        <w:rPr>
          <w:rStyle w:val="tlid-translation"/>
          <w:rFonts w:eastAsiaTheme="majorEastAsia"/>
          <w:b/>
          <w:color w:val="000000" w:themeColor="text1"/>
          <w:sz w:val="30"/>
          <w:szCs w:val="30"/>
        </w:rPr>
        <w:t>100</w:t>
      </w:r>
      <w:r w:rsidR="00596D15" w:rsidRPr="002127DF">
        <w:rPr>
          <w:rStyle w:val="tlid-translation"/>
          <w:rFonts w:eastAsiaTheme="majorEastAsia" w:hAnsiTheme="majorEastAsia"/>
          <w:b/>
          <w:color w:val="000000" w:themeColor="text1"/>
          <w:sz w:val="30"/>
          <w:szCs w:val="30"/>
        </w:rPr>
        <w:t>万美元的</w:t>
      </w:r>
      <w:r w:rsidR="00596D15" w:rsidRPr="002127DF">
        <w:rPr>
          <w:rStyle w:val="tlid-translation"/>
          <w:rFonts w:eastAsiaTheme="majorEastAsia" w:hAnsiTheme="majorEastAsia" w:hint="eastAsia"/>
          <w:b/>
          <w:color w:val="000000" w:themeColor="text1"/>
          <w:sz w:val="30"/>
          <w:szCs w:val="30"/>
        </w:rPr>
        <w:t>赔偿金</w:t>
      </w:r>
    </w:p>
    <w:p w:rsidR="00596D15" w:rsidRPr="002127DF" w:rsidRDefault="00596D15" w:rsidP="00596D15">
      <w:pPr>
        <w:ind w:firstLineChars="200" w:firstLine="600"/>
        <w:jc w:val="both"/>
        <w:rPr>
          <w:rStyle w:val="tlid-translation"/>
          <w:sz w:val="30"/>
          <w:szCs w:val="30"/>
        </w:rPr>
      </w:pPr>
      <w:r w:rsidRPr="002127DF">
        <w:rPr>
          <w:rFonts w:cs="Arial" w:hint="eastAsia"/>
          <w:color w:val="000000" w:themeColor="text1"/>
          <w:sz w:val="30"/>
          <w:szCs w:val="30"/>
          <w:shd w:val="clear" w:color="auto" w:fill="FFFFFF"/>
        </w:rPr>
        <w:lastRenderedPageBreak/>
        <w:t>2019</w:t>
      </w:r>
      <w:r w:rsidRPr="002127DF">
        <w:rPr>
          <w:rFonts w:cs="Arial" w:hint="eastAsia"/>
          <w:color w:val="000000" w:themeColor="text1"/>
          <w:sz w:val="30"/>
          <w:szCs w:val="30"/>
          <w:shd w:val="clear" w:color="auto" w:fill="FFFFFF"/>
        </w:rPr>
        <w:t>年</w:t>
      </w:r>
      <w:r w:rsidRPr="002127DF">
        <w:rPr>
          <w:rFonts w:cs="Arial" w:hint="eastAsia"/>
          <w:color w:val="000000" w:themeColor="text1"/>
          <w:sz w:val="30"/>
          <w:szCs w:val="30"/>
          <w:shd w:val="clear" w:color="auto" w:fill="FFFFFF"/>
        </w:rPr>
        <w:t>1</w:t>
      </w:r>
      <w:r w:rsidRPr="002127DF">
        <w:rPr>
          <w:rFonts w:cs="Arial" w:hint="eastAsia"/>
          <w:color w:val="000000" w:themeColor="text1"/>
          <w:sz w:val="30"/>
          <w:szCs w:val="30"/>
          <w:shd w:val="clear" w:color="auto" w:fill="FFFFFF"/>
        </w:rPr>
        <w:t>月</w:t>
      </w:r>
      <w:r w:rsidRPr="002127DF">
        <w:rPr>
          <w:rFonts w:cs="Arial" w:hint="eastAsia"/>
          <w:color w:val="000000" w:themeColor="text1"/>
          <w:sz w:val="30"/>
          <w:szCs w:val="30"/>
          <w:shd w:val="clear" w:color="auto" w:fill="FFFFFF"/>
        </w:rPr>
        <w:t>8</w:t>
      </w:r>
      <w:r w:rsidRPr="002127DF">
        <w:rPr>
          <w:rFonts w:cs="Arial" w:hint="eastAsia"/>
          <w:color w:val="000000" w:themeColor="text1"/>
          <w:sz w:val="30"/>
          <w:szCs w:val="30"/>
          <w:shd w:val="clear" w:color="auto" w:fill="FFFFFF"/>
        </w:rPr>
        <w:t>日，美国商品期货交易委员会</w:t>
      </w:r>
      <w:r w:rsidRPr="002127DF">
        <w:rPr>
          <w:rStyle w:val="tlid-translation"/>
          <w:rFonts w:hint="eastAsia"/>
          <w:color w:val="000000" w:themeColor="text1"/>
          <w:sz w:val="30"/>
          <w:szCs w:val="30"/>
        </w:rPr>
        <w:t>（</w:t>
      </w:r>
      <w:r w:rsidRPr="002127DF">
        <w:rPr>
          <w:rStyle w:val="tlid-translation"/>
          <w:rFonts w:hint="eastAsia"/>
          <w:color w:val="000000" w:themeColor="text1"/>
          <w:sz w:val="30"/>
          <w:szCs w:val="30"/>
        </w:rPr>
        <w:t>CFTC</w:t>
      </w:r>
      <w:r w:rsidRPr="002127DF">
        <w:rPr>
          <w:rStyle w:val="tlid-translation"/>
          <w:rFonts w:hint="eastAsia"/>
          <w:color w:val="000000" w:themeColor="text1"/>
          <w:sz w:val="30"/>
          <w:szCs w:val="30"/>
        </w:rPr>
        <w:t>）宣布，</w:t>
      </w:r>
      <w:r w:rsidRPr="002127DF">
        <w:rPr>
          <w:rStyle w:val="tlid-translation"/>
          <w:rFonts w:hint="eastAsia"/>
          <w:color w:val="000000" w:themeColor="text1"/>
          <w:sz w:val="30"/>
          <w:szCs w:val="30"/>
        </w:rPr>
        <w:t>2018</w:t>
      </w:r>
      <w:r w:rsidRPr="002127DF">
        <w:rPr>
          <w:rStyle w:val="tlid-translation"/>
          <w:rFonts w:hint="eastAsia"/>
          <w:color w:val="000000" w:themeColor="text1"/>
          <w:sz w:val="30"/>
          <w:szCs w:val="30"/>
        </w:rPr>
        <w:t>年</w:t>
      </w:r>
      <w:r w:rsidRPr="002127DF">
        <w:rPr>
          <w:rStyle w:val="tlid-translation"/>
          <w:rFonts w:hint="eastAsia"/>
          <w:color w:val="000000" w:themeColor="text1"/>
          <w:sz w:val="30"/>
          <w:szCs w:val="30"/>
        </w:rPr>
        <w:t>1</w:t>
      </w:r>
      <w:r w:rsidRPr="002127DF">
        <w:rPr>
          <w:rStyle w:val="tlid-translation"/>
          <w:rFonts w:hint="eastAsia"/>
          <w:sz w:val="30"/>
          <w:szCs w:val="30"/>
        </w:rPr>
        <w:t>2</w:t>
      </w:r>
      <w:r w:rsidRPr="002127DF">
        <w:rPr>
          <w:rStyle w:val="tlid-translation"/>
          <w:rFonts w:hint="eastAsia"/>
          <w:sz w:val="30"/>
          <w:szCs w:val="30"/>
        </w:rPr>
        <w:t>月</w:t>
      </w:r>
      <w:r w:rsidRPr="002127DF">
        <w:rPr>
          <w:rStyle w:val="tlid-translation"/>
          <w:rFonts w:hint="eastAsia"/>
          <w:sz w:val="30"/>
          <w:szCs w:val="30"/>
        </w:rPr>
        <w:t>27</w:t>
      </w:r>
      <w:r w:rsidRPr="002127DF">
        <w:rPr>
          <w:rStyle w:val="tlid-translation"/>
          <w:rFonts w:hint="eastAsia"/>
          <w:sz w:val="30"/>
          <w:szCs w:val="30"/>
        </w:rPr>
        <w:t>日，华盛顿州联邦法院下令华盛顿州贝尔维尤市居民</w:t>
      </w:r>
      <w:r w:rsidRPr="002127DF">
        <w:rPr>
          <w:rStyle w:val="tlid-translation"/>
          <w:rFonts w:hint="eastAsia"/>
          <w:sz w:val="30"/>
          <w:szCs w:val="30"/>
        </w:rPr>
        <w:t>Sung Hong</w:t>
      </w:r>
      <w:r w:rsidRPr="002127DF">
        <w:rPr>
          <w:rStyle w:val="tlid-translation"/>
          <w:rFonts w:hint="eastAsia"/>
          <w:sz w:val="30"/>
          <w:szCs w:val="30"/>
        </w:rPr>
        <w:t>（又称</w:t>
      </w:r>
      <w:r w:rsidRPr="002127DF">
        <w:rPr>
          <w:rStyle w:val="tlid-translation"/>
          <w:rFonts w:hint="eastAsia"/>
          <w:sz w:val="30"/>
          <w:szCs w:val="30"/>
        </w:rPr>
        <w:t>Lawrence Hong</w:t>
      </w:r>
      <w:r w:rsidRPr="002127DF">
        <w:rPr>
          <w:rStyle w:val="tlid-translation"/>
          <w:rFonts w:hint="eastAsia"/>
          <w:sz w:val="30"/>
          <w:szCs w:val="30"/>
        </w:rPr>
        <w:t>或</w:t>
      </w:r>
      <w:r w:rsidRPr="002127DF">
        <w:rPr>
          <w:rStyle w:val="tlid-translation"/>
          <w:rFonts w:hint="eastAsia"/>
          <w:sz w:val="30"/>
          <w:szCs w:val="30"/>
        </w:rPr>
        <w:t>Laurence Hong</w:t>
      </w:r>
      <w:r w:rsidRPr="002127DF">
        <w:rPr>
          <w:rStyle w:val="tlid-translation"/>
          <w:rFonts w:hint="eastAsia"/>
          <w:sz w:val="30"/>
          <w:szCs w:val="30"/>
        </w:rPr>
        <w:t>）、其妻子</w:t>
      </w:r>
      <w:r w:rsidRPr="002127DF">
        <w:rPr>
          <w:rStyle w:val="tlid-translation"/>
          <w:rFonts w:hint="eastAsia"/>
          <w:sz w:val="30"/>
          <w:szCs w:val="30"/>
        </w:rPr>
        <w:t xml:space="preserve">Hyun </w:t>
      </w:r>
      <w:proofErr w:type="spellStart"/>
      <w:r w:rsidRPr="002127DF">
        <w:rPr>
          <w:rStyle w:val="tlid-translation"/>
          <w:rFonts w:hint="eastAsia"/>
          <w:sz w:val="30"/>
          <w:szCs w:val="30"/>
        </w:rPr>
        <w:t>Joo</w:t>
      </w:r>
      <w:proofErr w:type="spellEnd"/>
      <w:r w:rsidRPr="002127DF">
        <w:rPr>
          <w:rStyle w:val="tlid-translation"/>
          <w:rFonts w:hint="eastAsia"/>
          <w:sz w:val="30"/>
          <w:szCs w:val="30"/>
        </w:rPr>
        <w:t xml:space="preserve"> Hong</w:t>
      </w:r>
      <w:r w:rsidRPr="002127DF">
        <w:rPr>
          <w:rStyle w:val="tlid-translation"/>
          <w:rFonts w:hint="eastAsia"/>
          <w:sz w:val="30"/>
          <w:szCs w:val="30"/>
        </w:rPr>
        <w:t>（又称</w:t>
      </w:r>
      <w:r w:rsidRPr="002127DF">
        <w:rPr>
          <w:rStyle w:val="tlid-translation"/>
          <w:rFonts w:hint="eastAsia"/>
          <w:sz w:val="30"/>
          <w:szCs w:val="30"/>
        </w:rPr>
        <w:t>Grace Hong</w:t>
      </w:r>
      <w:r w:rsidRPr="002127DF">
        <w:rPr>
          <w:rStyle w:val="tlid-translation"/>
          <w:rFonts w:hint="eastAsia"/>
          <w:sz w:val="30"/>
          <w:szCs w:val="30"/>
        </w:rPr>
        <w:t>），及其公司</w:t>
      </w:r>
      <w:proofErr w:type="spellStart"/>
      <w:r w:rsidRPr="002127DF">
        <w:rPr>
          <w:rStyle w:val="tlid-translation"/>
          <w:rFonts w:hint="eastAsia"/>
          <w:sz w:val="30"/>
          <w:szCs w:val="30"/>
        </w:rPr>
        <w:t>Pishon</w:t>
      </w:r>
      <w:proofErr w:type="spellEnd"/>
      <w:r w:rsidRPr="002127DF">
        <w:rPr>
          <w:rStyle w:val="tlid-translation"/>
          <w:rFonts w:hint="eastAsia"/>
          <w:sz w:val="30"/>
          <w:szCs w:val="30"/>
        </w:rPr>
        <w:t>控股有限责任公司就</w:t>
      </w:r>
      <w:r w:rsidRPr="002127DF">
        <w:rPr>
          <w:rStyle w:val="tlid-translation"/>
          <w:rFonts w:hint="eastAsia"/>
          <w:sz w:val="30"/>
          <w:szCs w:val="30"/>
        </w:rPr>
        <w:t>CFTC</w:t>
      </w:r>
      <w:r w:rsidRPr="002127DF">
        <w:rPr>
          <w:rStyle w:val="tlid-translation"/>
          <w:rFonts w:hint="eastAsia"/>
          <w:sz w:val="30"/>
          <w:szCs w:val="30"/>
        </w:rPr>
        <w:t>指控的执法行动支付超过</w:t>
      </w:r>
      <w:r w:rsidRPr="002127DF">
        <w:rPr>
          <w:rStyle w:val="tlid-translation"/>
          <w:rFonts w:hint="eastAsia"/>
          <w:sz w:val="30"/>
          <w:szCs w:val="30"/>
        </w:rPr>
        <w:t>125</w:t>
      </w:r>
      <w:r w:rsidRPr="002127DF">
        <w:rPr>
          <w:rStyle w:val="tlid-translation"/>
          <w:rFonts w:hint="eastAsia"/>
          <w:sz w:val="30"/>
          <w:szCs w:val="30"/>
        </w:rPr>
        <w:t>万美元的赔偿金。除了恢复原状外，法院还对</w:t>
      </w:r>
      <w:r w:rsidRPr="002127DF">
        <w:rPr>
          <w:rStyle w:val="tlid-translation"/>
          <w:rFonts w:hint="eastAsia"/>
          <w:sz w:val="30"/>
          <w:szCs w:val="30"/>
        </w:rPr>
        <w:t>Hong</w:t>
      </w:r>
      <w:r w:rsidRPr="002127DF">
        <w:rPr>
          <w:rStyle w:val="tlid-translation"/>
          <w:rFonts w:hint="eastAsia"/>
          <w:sz w:val="30"/>
          <w:szCs w:val="30"/>
        </w:rPr>
        <w:t>夫妇和</w:t>
      </w:r>
      <w:proofErr w:type="spellStart"/>
      <w:r w:rsidRPr="002127DF">
        <w:rPr>
          <w:rStyle w:val="tlid-translation"/>
          <w:rFonts w:hint="eastAsia"/>
          <w:sz w:val="30"/>
          <w:szCs w:val="30"/>
        </w:rPr>
        <w:t>Pishon</w:t>
      </w:r>
      <w:proofErr w:type="spellEnd"/>
      <w:r w:rsidRPr="002127DF">
        <w:rPr>
          <w:rStyle w:val="tlid-translation"/>
          <w:rFonts w:hint="eastAsia"/>
          <w:sz w:val="30"/>
          <w:szCs w:val="30"/>
        </w:rPr>
        <w:t>实施了永久性的交易和注册禁令，并禁止他们违反《商品交易法》（</w:t>
      </w:r>
      <w:r w:rsidRPr="002127DF">
        <w:rPr>
          <w:rStyle w:val="tlid-translation"/>
          <w:rFonts w:hint="eastAsia"/>
          <w:sz w:val="30"/>
          <w:szCs w:val="30"/>
        </w:rPr>
        <w:t>CEA</w:t>
      </w:r>
      <w:r w:rsidRPr="002127DF">
        <w:rPr>
          <w:rStyle w:val="tlid-translation"/>
          <w:rFonts w:hint="eastAsia"/>
          <w:sz w:val="30"/>
          <w:szCs w:val="30"/>
        </w:rPr>
        <w:t>）的规定。</w:t>
      </w:r>
    </w:p>
    <w:p w:rsidR="00596D15" w:rsidRPr="002127DF" w:rsidRDefault="00596D15" w:rsidP="00596D15">
      <w:pPr>
        <w:ind w:firstLineChars="200" w:firstLine="600"/>
        <w:jc w:val="both"/>
        <w:rPr>
          <w:rStyle w:val="tlid-translation"/>
          <w:sz w:val="30"/>
          <w:szCs w:val="30"/>
        </w:rPr>
      </w:pPr>
      <w:r w:rsidRPr="002127DF">
        <w:rPr>
          <w:rStyle w:val="tlid-translation"/>
          <w:rFonts w:hint="eastAsia"/>
          <w:sz w:val="30"/>
          <w:szCs w:val="30"/>
        </w:rPr>
        <w:t>法院的命令源于</w:t>
      </w:r>
      <w:r w:rsidRPr="002127DF">
        <w:rPr>
          <w:rStyle w:val="tlid-translation"/>
          <w:rFonts w:hint="eastAsia"/>
          <w:sz w:val="30"/>
          <w:szCs w:val="30"/>
        </w:rPr>
        <w:t>2017</w:t>
      </w:r>
      <w:r w:rsidRPr="002127DF">
        <w:rPr>
          <w:rStyle w:val="tlid-translation"/>
          <w:rFonts w:hint="eastAsia"/>
          <w:sz w:val="30"/>
          <w:szCs w:val="30"/>
        </w:rPr>
        <w:t>年</w:t>
      </w:r>
      <w:r w:rsidRPr="002127DF">
        <w:rPr>
          <w:rStyle w:val="tlid-translation"/>
          <w:rFonts w:hint="eastAsia"/>
          <w:sz w:val="30"/>
          <w:szCs w:val="30"/>
        </w:rPr>
        <w:t>6</w:t>
      </w:r>
      <w:r w:rsidRPr="002127DF">
        <w:rPr>
          <w:rStyle w:val="tlid-translation"/>
          <w:rFonts w:hint="eastAsia"/>
          <w:sz w:val="30"/>
          <w:szCs w:val="30"/>
        </w:rPr>
        <w:t>月</w:t>
      </w:r>
      <w:r w:rsidRPr="002127DF">
        <w:rPr>
          <w:rStyle w:val="tlid-translation"/>
          <w:rFonts w:hint="eastAsia"/>
          <w:sz w:val="30"/>
          <w:szCs w:val="30"/>
        </w:rPr>
        <w:t>1</w:t>
      </w:r>
      <w:r w:rsidRPr="002127DF">
        <w:rPr>
          <w:rStyle w:val="tlid-translation"/>
          <w:rFonts w:hint="eastAsia"/>
          <w:sz w:val="30"/>
          <w:szCs w:val="30"/>
        </w:rPr>
        <w:t>日在美国华盛顿西区地方法院提交的</w:t>
      </w:r>
      <w:r w:rsidRPr="002127DF">
        <w:rPr>
          <w:rStyle w:val="tlid-translation"/>
          <w:rFonts w:hint="eastAsia"/>
          <w:sz w:val="30"/>
          <w:szCs w:val="30"/>
        </w:rPr>
        <w:t>CFTC</w:t>
      </w:r>
      <w:r w:rsidRPr="002127DF">
        <w:rPr>
          <w:rStyle w:val="tlid-translation"/>
          <w:rFonts w:hint="eastAsia"/>
          <w:sz w:val="30"/>
          <w:szCs w:val="30"/>
        </w:rPr>
        <w:t>的起诉状。在命令中，法官</w:t>
      </w:r>
      <w:r w:rsidRPr="002127DF">
        <w:rPr>
          <w:rStyle w:val="tlid-translation"/>
          <w:rFonts w:hint="eastAsia"/>
          <w:sz w:val="30"/>
          <w:szCs w:val="30"/>
        </w:rPr>
        <w:t xml:space="preserve">Marsha </w:t>
      </w:r>
      <w:proofErr w:type="spellStart"/>
      <w:r w:rsidRPr="002127DF">
        <w:rPr>
          <w:rStyle w:val="tlid-translation"/>
          <w:rFonts w:hint="eastAsia"/>
          <w:sz w:val="30"/>
          <w:szCs w:val="30"/>
        </w:rPr>
        <w:t>Pechman</w:t>
      </w:r>
      <w:proofErr w:type="spellEnd"/>
      <w:r w:rsidRPr="002127DF">
        <w:rPr>
          <w:rStyle w:val="tlid-translation"/>
          <w:rFonts w:hint="eastAsia"/>
          <w:sz w:val="30"/>
          <w:szCs w:val="30"/>
        </w:rPr>
        <w:t>发现</w:t>
      </w:r>
      <w:r w:rsidRPr="002127DF">
        <w:rPr>
          <w:rStyle w:val="tlid-translation"/>
          <w:rFonts w:hint="eastAsia"/>
          <w:sz w:val="30"/>
          <w:szCs w:val="30"/>
        </w:rPr>
        <w:t>Hong</w:t>
      </w:r>
      <w:r w:rsidRPr="002127DF">
        <w:rPr>
          <w:rStyle w:val="tlid-translation"/>
          <w:rFonts w:hint="eastAsia"/>
          <w:sz w:val="30"/>
          <w:szCs w:val="30"/>
        </w:rPr>
        <w:t>夫妇和</w:t>
      </w:r>
      <w:proofErr w:type="spellStart"/>
      <w:r w:rsidRPr="002127DF">
        <w:rPr>
          <w:rStyle w:val="tlid-translation"/>
          <w:rFonts w:hint="eastAsia"/>
          <w:sz w:val="30"/>
          <w:szCs w:val="30"/>
        </w:rPr>
        <w:t>Pishon</w:t>
      </w:r>
      <w:proofErr w:type="spellEnd"/>
      <w:r w:rsidRPr="002127DF">
        <w:rPr>
          <w:rStyle w:val="tlid-translation"/>
          <w:rFonts w:hint="eastAsia"/>
          <w:sz w:val="30"/>
          <w:szCs w:val="30"/>
        </w:rPr>
        <w:t>存在如下情况：一是从其客户处挪用了</w:t>
      </w:r>
      <w:r w:rsidRPr="002127DF">
        <w:rPr>
          <w:rStyle w:val="tlid-translation"/>
          <w:rFonts w:hint="eastAsia"/>
          <w:sz w:val="30"/>
          <w:szCs w:val="30"/>
        </w:rPr>
        <w:t>125.9</w:t>
      </w:r>
      <w:r w:rsidRPr="002127DF">
        <w:rPr>
          <w:rStyle w:val="tlid-translation"/>
          <w:rFonts w:hint="eastAsia"/>
          <w:sz w:val="30"/>
          <w:szCs w:val="30"/>
        </w:rPr>
        <w:t>万美元；二是以欺诈手段向客户索要超过</w:t>
      </w:r>
      <w:r w:rsidRPr="002127DF">
        <w:rPr>
          <w:rStyle w:val="tlid-translation"/>
          <w:rFonts w:hint="eastAsia"/>
          <w:sz w:val="30"/>
          <w:szCs w:val="30"/>
        </w:rPr>
        <w:t>1100</w:t>
      </w:r>
      <w:r w:rsidRPr="002127DF">
        <w:rPr>
          <w:rStyle w:val="tlid-translation"/>
          <w:rFonts w:hint="eastAsia"/>
          <w:sz w:val="30"/>
          <w:szCs w:val="30"/>
        </w:rPr>
        <w:t>万美元；三是在其他方面谎称其管理资金数量、交易情况以及从客户账户中扣除交易费用的方式；四是向客户隐瞒</w:t>
      </w:r>
      <w:r w:rsidRPr="002127DF">
        <w:rPr>
          <w:rStyle w:val="tlid-translation"/>
          <w:rFonts w:hint="eastAsia"/>
          <w:sz w:val="30"/>
          <w:szCs w:val="30"/>
        </w:rPr>
        <w:t>Sung Hong</w:t>
      </w:r>
      <w:r w:rsidRPr="002127DF">
        <w:rPr>
          <w:rStyle w:val="tlid-translation"/>
          <w:rFonts w:hint="eastAsia"/>
          <w:sz w:val="30"/>
          <w:szCs w:val="30"/>
        </w:rPr>
        <w:t>先前曾因涉嫌电汇欺诈而被被判</w:t>
      </w:r>
      <w:r w:rsidRPr="002127DF">
        <w:rPr>
          <w:rStyle w:val="tlid-translation"/>
          <w:rFonts w:hint="eastAsia"/>
          <w:sz w:val="30"/>
          <w:szCs w:val="30"/>
        </w:rPr>
        <w:t>33</w:t>
      </w:r>
      <w:r w:rsidRPr="002127DF">
        <w:rPr>
          <w:rStyle w:val="tlid-translation"/>
          <w:rFonts w:hint="eastAsia"/>
          <w:sz w:val="30"/>
          <w:szCs w:val="30"/>
        </w:rPr>
        <w:t>个月有期徒刑</w:t>
      </w:r>
      <w:r w:rsidR="00271F14">
        <w:rPr>
          <w:rStyle w:val="tlid-translation"/>
          <w:rFonts w:hint="eastAsia"/>
          <w:sz w:val="30"/>
          <w:szCs w:val="30"/>
        </w:rPr>
        <w:t>的事实</w:t>
      </w:r>
      <w:r w:rsidRPr="002127DF">
        <w:rPr>
          <w:rStyle w:val="tlid-translation"/>
          <w:rFonts w:hint="eastAsia"/>
          <w:sz w:val="30"/>
          <w:szCs w:val="30"/>
        </w:rPr>
        <w:t>。</w:t>
      </w:r>
    </w:p>
    <w:p w:rsidR="00596D15" w:rsidRPr="002127DF" w:rsidRDefault="00596D15" w:rsidP="00596D15">
      <w:pPr>
        <w:ind w:firstLineChars="200" w:firstLine="600"/>
        <w:jc w:val="both"/>
        <w:rPr>
          <w:rStyle w:val="tlid-translation"/>
          <w:sz w:val="30"/>
          <w:szCs w:val="30"/>
        </w:rPr>
      </w:pPr>
      <w:r w:rsidRPr="002127DF">
        <w:rPr>
          <w:rStyle w:val="tlid-translation"/>
          <w:rFonts w:hint="eastAsia"/>
          <w:sz w:val="30"/>
          <w:szCs w:val="30"/>
        </w:rPr>
        <w:t>在美国华盛顿西区地方法院提起的刑事及附带民事案件中，</w:t>
      </w:r>
      <w:r w:rsidRPr="002127DF">
        <w:rPr>
          <w:rStyle w:val="tlid-translation"/>
          <w:rFonts w:hint="eastAsia"/>
          <w:sz w:val="30"/>
          <w:szCs w:val="30"/>
        </w:rPr>
        <w:t>Laurence Hong</w:t>
      </w:r>
      <w:r w:rsidRPr="002127DF">
        <w:rPr>
          <w:rStyle w:val="tlid-translation"/>
          <w:rFonts w:hint="eastAsia"/>
          <w:sz w:val="30"/>
          <w:szCs w:val="30"/>
        </w:rPr>
        <w:t>和</w:t>
      </w:r>
      <w:r w:rsidRPr="002127DF">
        <w:rPr>
          <w:rStyle w:val="tlid-translation"/>
          <w:rFonts w:hint="eastAsia"/>
          <w:sz w:val="30"/>
          <w:szCs w:val="30"/>
        </w:rPr>
        <w:t>Grace Hong</w:t>
      </w:r>
      <w:r w:rsidRPr="002127DF">
        <w:rPr>
          <w:rStyle w:val="tlid-translation"/>
          <w:rFonts w:hint="eastAsia"/>
          <w:sz w:val="30"/>
          <w:szCs w:val="30"/>
        </w:rPr>
        <w:t>分别于</w:t>
      </w:r>
      <w:r w:rsidRPr="002127DF">
        <w:rPr>
          <w:rStyle w:val="tlid-translation"/>
          <w:rFonts w:hint="eastAsia"/>
          <w:sz w:val="30"/>
          <w:szCs w:val="30"/>
        </w:rPr>
        <w:t>2018</w:t>
      </w:r>
      <w:r w:rsidRPr="002127DF">
        <w:rPr>
          <w:rStyle w:val="tlid-translation"/>
          <w:rFonts w:hint="eastAsia"/>
          <w:sz w:val="30"/>
          <w:szCs w:val="30"/>
        </w:rPr>
        <w:t>年</w:t>
      </w:r>
      <w:r w:rsidRPr="002127DF">
        <w:rPr>
          <w:rStyle w:val="tlid-translation"/>
          <w:rFonts w:hint="eastAsia"/>
          <w:sz w:val="30"/>
          <w:szCs w:val="30"/>
        </w:rPr>
        <w:t>3</w:t>
      </w:r>
      <w:r w:rsidRPr="002127DF">
        <w:rPr>
          <w:rStyle w:val="tlid-translation"/>
          <w:rFonts w:hint="eastAsia"/>
          <w:sz w:val="30"/>
          <w:szCs w:val="30"/>
        </w:rPr>
        <w:t>月</w:t>
      </w:r>
      <w:r w:rsidRPr="002127DF">
        <w:rPr>
          <w:rStyle w:val="tlid-translation"/>
          <w:rFonts w:hint="eastAsia"/>
          <w:sz w:val="30"/>
          <w:szCs w:val="30"/>
        </w:rPr>
        <w:t>27</w:t>
      </w:r>
      <w:r w:rsidRPr="002127DF">
        <w:rPr>
          <w:rStyle w:val="tlid-translation"/>
          <w:rFonts w:hint="eastAsia"/>
          <w:sz w:val="30"/>
          <w:szCs w:val="30"/>
        </w:rPr>
        <w:t>日和</w:t>
      </w:r>
      <w:r w:rsidRPr="002127DF">
        <w:rPr>
          <w:rStyle w:val="tlid-translation"/>
          <w:rFonts w:hint="eastAsia"/>
          <w:sz w:val="30"/>
          <w:szCs w:val="30"/>
        </w:rPr>
        <w:t>3</w:t>
      </w:r>
      <w:r w:rsidRPr="002127DF">
        <w:rPr>
          <w:rStyle w:val="tlid-translation"/>
          <w:rFonts w:hint="eastAsia"/>
          <w:sz w:val="30"/>
          <w:szCs w:val="30"/>
        </w:rPr>
        <w:t>月</w:t>
      </w:r>
      <w:r w:rsidRPr="002127DF">
        <w:rPr>
          <w:rStyle w:val="tlid-translation"/>
          <w:rFonts w:hint="eastAsia"/>
          <w:sz w:val="30"/>
          <w:szCs w:val="30"/>
        </w:rPr>
        <w:t>30</w:t>
      </w:r>
      <w:r w:rsidRPr="002127DF">
        <w:rPr>
          <w:rStyle w:val="tlid-translation"/>
          <w:rFonts w:hint="eastAsia"/>
          <w:sz w:val="30"/>
          <w:szCs w:val="30"/>
        </w:rPr>
        <w:t>日对多项刑事处罚认罪。</w:t>
      </w:r>
      <w:r w:rsidRPr="002127DF">
        <w:rPr>
          <w:rStyle w:val="tlid-translation"/>
          <w:rFonts w:hint="eastAsia"/>
          <w:sz w:val="30"/>
          <w:szCs w:val="30"/>
        </w:rPr>
        <w:t>2018</w:t>
      </w:r>
      <w:r w:rsidRPr="002127DF">
        <w:rPr>
          <w:rStyle w:val="tlid-translation"/>
          <w:rFonts w:hint="eastAsia"/>
          <w:sz w:val="30"/>
          <w:szCs w:val="30"/>
        </w:rPr>
        <w:t>年</w:t>
      </w:r>
      <w:r w:rsidRPr="002127DF">
        <w:rPr>
          <w:rStyle w:val="tlid-translation"/>
          <w:rFonts w:hint="eastAsia"/>
          <w:sz w:val="30"/>
          <w:szCs w:val="30"/>
        </w:rPr>
        <w:t>10</w:t>
      </w:r>
      <w:r w:rsidRPr="002127DF">
        <w:rPr>
          <w:rStyle w:val="tlid-translation"/>
          <w:rFonts w:hint="eastAsia"/>
          <w:sz w:val="30"/>
          <w:szCs w:val="30"/>
        </w:rPr>
        <w:t>月</w:t>
      </w:r>
      <w:r w:rsidRPr="002127DF">
        <w:rPr>
          <w:rStyle w:val="tlid-translation"/>
          <w:rFonts w:hint="eastAsia"/>
          <w:sz w:val="30"/>
          <w:szCs w:val="30"/>
        </w:rPr>
        <w:t>11</w:t>
      </w:r>
      <w:r w:rsidRPr="002127DF">
        <w:rPr>
          <w:rStyle w:val="tlid-translation"/>
          <w:rFonts w:hint="eastAsia"/>
          <w:sz w:val="30"/>
          <w:szCs w:val="30"/>
        </w:rPr>
        <w:t>日，</w:t>
      </w:r>
      <w:r w:rsidRPr="002127DF">
        <w:rPr>
          <w:rStyle w:val="tlid-translation"/>
          <w:rFonts w:hint="eastAsia"/>
          <w:sz w:val="30"/>
          <w:szCs w:val="30"/>
        </w:rPr>
        <w:t>Laurence Hong</w:t>
      </w:r>
      <w:r w:rsidR="00271F14">
        <w:rPr>
          <w:rStyle w:val="tlid-translation"/>
          <w:rFonts w:hint="eastAsia"/>
          <w:sz w:val="30"/>
          <w:szCs w:val="30"/>
        </w:rPr>
        <w:t>被判处</w:t>
      </w:r>
      <w:r w:rsidRPr="002127DF">
        <w:rPr>
          <w:rStyle w:val="tlid-translation"/>
          <w:rFonts w:hint="eastAsia"/>
          <w:sz w:val="30"/>
          <w:szCs w:val="30"/>
        </w:rPr>
        <w:t>180</w:t>
      </w:r>
      <w:r w:rsidRPr="002127DF">
        <w:rPr>
          <w:rStyle w:val="tlid-translation"/>
          <w:rFonts w:hint="eastAsia"/>
          <w:sz w:val="30"/>
          <w:szCs w:val="30"/>
        </w:rPr>
        <w:t>个月徒刑，</w:t>
      </w:r>
      <w:r w:rsidRPr="002127DF">
        <w:rPr>
          <w:rStyle w:val="tlid-translation"/>
          <w:rFonts w:hint="eastAsia"/>
          <w:sz w:val="30"/>
          <w:szCs w:val="30"/>
        </w:rPr>
        <w:t>Grace Hong</w:t>
      </w:r>
      <w:r w:rsidRPr="002127DF">
        <w:rPr>
          <w:rStyle w:val="tlid-translation"/>
          <w:rFonts w:hint="eastAsia"/>
          <w:sz w:val="30"/>
          <w:szCs w:val="30"/>
        </w:rPr>
        <w:t>被判处</w:t>
      </w:r>
      <w:r w:rsidRPr="002127DF">
        <w:rPr>
          <w:rStyle w:val="tlid-translation"/>
          <w:rFonts w:hint="eastAsia"/>
          <w:sz w:val="30"/>
          <w:szCs w:val="30"/>
        </w:rPr>
        <w:t>72</w:t>
      </w:r>
      <w:r w:rsidRPr="002127DF">
        <w:rPr>
          <w:rStyle w:val="tlid-translation"/>
          <w:rFonts w:hint="eastAsia"/>
          <w:sz w:val="30"/>
          <w:szCs w:val="30"/>
        </w:rPr>
        <w:t>个月徒刑。</w:t>
      </w:r>
      <w:r w:rsidR="00197499" w:rsidRPr="002127DF">
        <w:rPr>
          <w:rStyle w:val="tlid-translation"/>
          <w:rFonts w:hint="eastAsia"/>
          <w:sz w:val="30"/>
          <w:szCs w:val="30"/>
        </w:rPr>
        <w:t>此外，法院判决被告在刑事案件中支付赔偿金。鉴于先前在刑事案件中</w:t>
      </w:r>
      <w:r w:rsidRPr="002127DF">
        <w:rPr>
          <w:rStyle w:val="tlid-translation"/>
          <w:rFonts w:hint="eastAsia"/>
          <w:sz w:val="30"/>
          <w:szCs w:val="30"/>
        </w:rPr>
        <w:t>使用恢复原状的裁决，</w:t>
      </w:r>
      <w:proofErr w:type="spellStart"/>
      <w:r w:rsidRPr="002127DF">
        <w:rPr>
          <w:rStyle w:val="tlid-translation"/>
          <w:rFonts w:hint="eastAsia"/>
          <w:sz w:val="30"/>
          <w:szCs w:val="30"/>
        </w:rPr>
        <w:t>Pechman</w:t>
      </w:r>
      <w:proofErr w:type="spellEnd"/>
      <w:r w:rsidRPr="002127DF">
        <w:rPr>
          <w:rStyle w:val="tlid-translation"/>
          <w:rFonts w:hint="eastAsia"/>
          <w:sz w:val="30"/>
          <w:szCs w:val="30"/>
        </w:rPr>
        <w:t>法官下令被告可以一对一的方式抵消刑事案件中的民事归还义务。</w:t>
      </w:r>
    </w:p>
    <w:p w:rsidR="00596D15" w:rsidRPr="002127DF" w:rsidRDefault="00596D15" w:rsidP="00596D15">
      <w:pPr>
        <w:ind w:firstLineChars="200" w:firstLine="600"/>
        <w:jc w:val="both"/>
        <w:rPr>
          <w:rStyle w:val="tlid-translation"/>
          <w:sz w:val="30"/>
          <w:szCs w:val="30"/>
        </w:rPr>
      </w:pPr>
      <w:r w:rsidRPr="002127DF">
        <w:rPr>
          <w:rStyle w:val="tlid-translation"/>
          <w:rFonts w:hint="eastAsia"/>
          <w:sz w:val="30"/>
          <w:szCs w:val="30"/>
        </w:rPr>
        <w:lastRenderedPageBreak/>
        <w:t>此外，</w:t>
      </w:r>
      <w:r w:rsidRPr="002127DF">
        <w:rPr>
          <w:rStyle w:val="tlid-translation"/>
          <w:rFonts w:hint="eastAsia"/>
          <w:sz w:val="30"/>
          <w:szCs w:val="30"/>
        </w:rPr>
        <w:t>CFTC</w:t>
      </w:r>
      <w:r w:rsidRPr="002127DF">
        <w:rPr>
          <w:rStyle w:val="tlid-translation"/>
          <w:rFonts w:hint="eastAsia"/>
          <w:sz w:val="30"/>
          <w:szCs w:val="30"/>
        </w:rPr>
        <w:t>警示受害者，由于违法者可能没有足够的资金或资产用于支付，赔偿</w:t>
      </w:r>
      <w:proofErr w:type="gramStart"/>
      <w:r w:rsidRPr="002127DF">
        <w:rPr>
          <w:rStyle w:val="tlid-translation"/>
          <w:rFonts w:hint="eastAsia"/>
          <w:sz w:val="30"/>
          <w:szCs w:val="30"/>
        </w:rPr>
        <w:t>令可能</w:t>
      </w:r>
      <w:proofErr w:type="gramEnd"/>
      <w:r w:rsidRPr="002127DF">
        <w:rPr>
          <w:rStyle w:val="tlid-translation"/>
          <w:rFonts w:hint="eastAsia"/>
          <w:sz w:val="30"/>
          <w:szCs w:val="30"/>
        </w:rPr>
        <w:t>无法完全赔偿投资者的损失。对此，</w:t>
      </w:r>
      <w:r w:rsidRPr="002127DF">
        <w:rPr>
          <w:rStyle w:val="tlid-translation"/>
          <w:rFonts w:hint="eastAsia"/>
          <w:sz w:val="30"/>
          <w:szCs w:val="30"/>
        </w:rPr>
        <w:t>CFTC</w:t>
      </w:r>
      <w:r w:rsidRPr="002127DF">
        <w:rPr>
          <w:rStyle w:val="tlid-translation"/>
          <w:rFonts w:hint="eastAsia"/>
          <w:sz w:val="30"/>
          <w:szCs w:val="30"/>
        </w:rPr>
        <w:t>将继续积极争取保护客户，并确保追究违法者的责任。</w:t>
      </w:r>
    </w:p>
    <w:p w:rsidR="00627EB3" w:rsidRDefault="00596D15" w:rsidP="00FC0BC5">
      <w:pPr>
        <w:ind w:firstLineChars="200" w:firstLine="600"/>
        <w:rPr>
          <w:rStyle w:val="tlid-translation"/>
          <w:sz w:val="30"/>
          <w:szCs w:val="30"/>
        </w:rPr>
      </w:pPr>
      <w:r w:rsidRPr="002127DF">
        <w:rPr>
          <w:rStyle w:val="tlid-translation"/>
          <w:rFonts w:hint="eastAsia"/>
          <w:sz w:val="30"/>
          <w:szCs w:val="30"/>
        </w:rPr>
        <w:t>网址链接：</w:t>
      </w:r>
    </w:p>
    <w:p w:rsidR="00596D15" w:rsidRPr="00FC0BC5" w:rsidRDefault="009D05E8" w:rsidP="00627EB3">
      <w:pPr>
        <w:ind w:firstLineChars="200" w:firstLine="480"/>
        <w:rPr>
          <w:sz w:val="30"/>
          <w:szCs w:val="30"/>
        </w:rPr>
      </w:pPr>
      <w:hyperlink r:id="rId19" w:history="1">
        <w:r w:rsidR="00596D15" w:rsidRPr="002127DF">
          <w:rPr>
            <w:rStyle w:val="a8"/>
            <w:rFonts w:hint="eastAsia"/>
            <w:sz w:val="30"/>
            <w:szCs w:val="30"/>
          </w:rPr>
          <w:t>https://www.cftc.gov/PressRoom/PressReleases/7868-19</w:t>
        </w:r>
      </w:hyperlink>
    </w:p>
    <w:p w:rsidR="00596D15" w:rsidRPr="002127DF" w:rsidRDefault="00596D15" w:rsidP="00596D15">
      <w:pPr>
        <w:rPr>
          <w:rStyle w:val="a8"/>
          <w:color w:val="000000" w:themeColor="text1"/>
          <w:sz w:val="30"/>
          <w:szCs w:val="30"/>
        </w:rPr>
      </w:pPr>
    </w:p>
    <w:p w:rsidR="00596D15" w:rsidRPr="002127DF" w:rsidRDefault="00485222" w:rsidP="00271F14">
      <w:pPr>
        <w:spacing w:beforeLines="100" w:afterLines="100"/>
        <w:outlineLvl w:val="1"/>
        <w:rPr>
          <w:rStyle w:val="tlid-translation"/>
          <w:rFonts w:eastAsiaTheme="majorEastAsia"/>
          <w:b/>
          <w:sz w:val="30"/>
          <w:szCs w:val="30"/>
        </w:rPr>
      </w:pPr>
      <w:r w:rsidRPr="002127DF">
        <w:rPr>
          <w:rStyle w:val="a8"/>
          <w:rFonts w:eastAsiaTheme="majorEastAsia" w:hint="eastAsia"/>
          <w:b/>
          <w:color w:val="000000" w:themeColor="text1"/>
          <w:sz w:val="30"/>
          <w:szCs w:val="30"/>
          <w:u w:val="none"/>
        </w:rPr>
        <w:t>SPIC</w:t>
      </w:r>
      <w:r w:rsidRPr="002127DF">
        <w:rPr>
          <w:rStyle w:val="a8"/>
          <w:rFonts w:eastAsiaTheme="majorEastAsia" w:hAnsiTheme="majorEastAsia" w:hint="eastAsia"/>
          <w:b/>
          <w:color w:val="000000" w:themeColor="text1"/>
          <w:sz w:val="30"/>
          <w:szCs w:val="30"/>
          <w:u w:val="none"/>
        </w:rPr>
        <w:t>：</w:t>
      </w:r>
      <w:r w:rsidRPr="002127DF">
        <w:rPr>
          <w:rStyle w:val="a8"/>
          <w:rFonts w:eastAsiaTheme="majorEastAsia" w:hint="eastAsia"/>
          <w:b/>
          <w:color w:val="000000" w:themeColor="text1"/>
          <w:sz w:val="30"/>
          <w:szCs w:val="30"/>
          <w:u w:val="none"/>
        </w:rPr>
        <w:t>“</w:t>
      </w:r>
      <w:r w:rsidR="00596D15" w:rsidRPr="002127DF">
        <w:rPr>
          <w:rStyle w:val="tlid-translation"/>
          <w:rFonts w:eastAsiaTheme="majorEastAsia" w:hAnsiTheme="majorEastAsia"/>
          <w:b/>
          <w:sz w:val="30"/>
          <w:szCs w:val="30"/>
        </w:rPr>
        <w:t>麦道夫</w:t>
      </w:r>
      <w:r w:rsidR="00596D15" w:rsidRPr="002127DF">
        <w:rPr>
          <w:rStyle w:val="tlid-translation"/>
          <w:rFonts w:eastAsiaTheme="majorEastAsia" w:hAnsiTheme="majorEastAsia" w:hint="eastAsia"/>
          <w:b/>
          <w:sz w:val="30"/>
          <w:szCs w:val="30"/>
        </w:rPr>
        <w:t>案</w:t>
      </w:r>
      <w:r w:rsidR="00596D15" w:rsidRPr="002127DF">
        <w:rPr>
          <w:rStyle w:val="tlid-translation"/>
          <w:rFonts w:eastAsiaTheme="majorEastAsia" w:hint="eastAsia"/>
          <w:b/>
          <w:sz w:val="30"/>
          <w:szCs w:val="30"/>
        </w:rPr>
        <w:t>”</w:t>
      </w:r>
      <w:r w:rsidR="00596D15" w:rsidRPr="002127DF">
        <w:rPr>
          <w:rStyle w:val="tlid-translation"/>
          <w:rFonts w:eastAsiaTheme="majorEastAsia" w:hAnsiTheme="majorEastAsia" w:hint="eastAsia"/>
          <w:b/>
          <w:sz w:val="30"/>
          <w:szCs w:val="30"/>
        </w:rPr>
        <w:t>受害者</w:t>
      </w:r>
      <w:r w:rsidR="00596D15" w:rsidRPr="002127DF">
        <w:rPr>
          <w:rStyle w:val="tlid-translation"/>
          <w:rFonts w:eastAsiaTheme="majorEastAsia" w:hAnsiTheme="majorEastAsia"/>
          <w:b/>
          <w:sz w:val="30"/>
          <w:szCs w:val="30"/>
        </w:rPr>
        <w:t>第十</w:t>
      </w:r>
      <w:r w:rsidR="00596D15" w:rsidRPr="002127DF">
        <w:rPr>
          <w:rStyle w:val="tlid-translation"/>
          <w:rFonts w:eastAsiaTheme="majorEastAsia" w:hAnsiTheme="majorEastAsia" w:hint="eastAsia"/>
          <w:b/>
          <w:sz w:val="30"/>
          <w:szCs w:val="30"/>
        </w:rPr>
        <w:t>次按比例中期分配</w:t>
      </w:r>
      <w:r w:rsidR="00596D15" w:rsidRPr="002127DF">
        <w:rPr>
          <w:rStyle w:val="tlid-translation"/>
          <w:rFonts w:eastAsiaTheme="majorEastAsia" w:hAnsiTheme="majorEastAsia"/>
          <w:b/>
          <w:sz w:val="30"/>
          <w:szCs w:val="30"/>
        </w:rPr>
        <w:t>开始</w:t>
      </w:r>
      <w:r w:rsidR="00596D15" w:rsidRPr="002127DF">
        <w:rPr>
          <w:rStyle w:val="tlid-translation"/>
          <w:rFonts w:eastAsiaTheme="majorEastAsia" w:hAnsiTheme="majorEastAsia" w:hint="eastAsia"/>
          <w:b/>
          <w:sz w:val="30"/>
          <w:szCs w:val="30"/>
        </w:rPr>
        <w:t>进行</w:t>
      </w:r>
    </w:p>
    <w:p w:rsidR="00596D15" w:rsidRPr="002127DF" w:rsidRDefault="00596D15" w:rsidP="00596D15">
      <w:pPr>
        <w:ind w:firstLineChars="200" w:firstLine="600"/>
        <w:rPr>
          <w:rStyle w:val="tlid-translation"/>
          <w:sz w:val="30"/>
          <w:szCs w:val="30"/>
        </w:rPr>
      </w:pPr>
      <w:r w:rsidRPr="002127DF">
        <w:rPr>
          <w:rStyle w:val="tlid-translation"/>
          <w:rFonts w:hint="eastAsia"/>
          <w:sz w:val="30"/>
          <w:szCs w:val="30"/>
        </w:rPr>
        <w:t>2019</w:t>
      </w:r>
      <w:r w:rsidRPr="002127DF">
        <w:rPr>
          <w:rStyle w:val="tlid-translation"/>
          <w:rFonts w:hint="eastAsia"/>
          <w:sz w:val="30"/>
          <w:szCs w:val="30"/>
        </w:rPr>
        <w:t>年</w:t>
      </w:r>
      <w:r w:rsidRPr="002127DF">
        <w:rPr>
          <w:rStyle w:val="tlid-translation"/>
          <w:rFonts w:hint="eastAsia"/>
          <w:sz w:val="30"/>
          <w:szCs w:val="30"/>
        </w:rPr>
        <w:t>2</w:t>
      </w:r>
      <w:r w:rsidRPr="002127DF">
        <w:rPr>
          <w:rStyle w:val="tlid-translation"/>
          <w:rFonts w:hint="eastAsia"/>
          <w:sz w:val="30"/>
          <w:szCs w:val="30"/>
        </w:rPr>
        <w:t>月</w:t>
      </w:r>
      <w:r w:rsidRPr="002127DF">
        <w:rPr>
          <w:rStyle w:val="tlid-translation"/>
          <w:rFonts w:hint="eastAsia"/>
          <w:sz w:val="30"/>
          <w:szCs w:val="30"/>
        </w:rPr>
        <w:t>22</w:t>
      </w:r>
      <w:r w:rsidRPr="002127DF">
        <w:rPr>
          <w:rStyle w:val="tlid-translation"/>
          <w:rFonts w:hint="eastAsia"/>
          <w:sz w:val="30"/>
          <w:szCs w:val="30"/>
        </w:rPr>
        <w:t>日，由</w:t>
      </w:r>
      <w:r w:rsidRPr="002127DF">
        <w:rPr>
          <w:rStyle w:val="tlid-translation"/>
          <w:rFonts w:hint="eastAsia"/>
          <w:sz w:val="30"/>
          <w:szCs w:val="30"/>
        </w:rPr>
        <w:t xml:space="preserve">Bernard L. </w:t>
      </w:r>
      <w:proofErr w:type="spellStart"/>
      <w:r w:rsidRPr="002127DF">
        <w:rPr>
          <w:rStyle w:val="tlid-translation"/>
          <w:rFonts w:hint="eastAsia"/>
          <w:sz w:val="30"/>
          <w:szCs w:val="30"/>
        </w:rPr>
        <w:t>Madoff</w:t>
      </w:r>
      <w:proofErr w:type="spellEnd"/>
      <w:r w:rsidRPr="002127DF">
        <w:rPr>
          <w:rStyle w:val="tlid-translation"/>
          <w:rFonts w:hint="eastAsia"/>
          <w:sz w:val="30"/>
          <w:szCs w:val="30"/>
        </w:rPr>
        <w:t>投资证券有限责任公司（</w:t>
      </w:r>
      <w:r w:rsidRPr="002127DF">
        <w:rPr>
          <w:rStyle w:val="tlid-translation"/>
          <w:rFonts w:hint="eastAsia"/>
          <w:sz w:val="30"/>
          <w:szCs w:val="30"/>
        </w:rPr>
        <w:t>BLMIS</w:t>
      </w:r>
      <w:r w:rsidRPr="002127DF">
        <w:rPr>
          <w:rStyle w:val="tlid-translation"/>
          <w:rFonts w:hint="eastAsia"/>
          <w:sz w:val="30"/>
          <w:szCs w:val="30"/>
        </w:rPr>
        <w:t>）负责清算的证券投资者保护法案（</w:t>
      </w:r>
      <w:r w:rsidRPr="002127DF">
        <w:rPr>
          <w:rStyle w:val="tlid-translation"/>
          <w:rFonts w:hint="eastAsia"/>
          <w:sz w:val="30"/>
          <w:szCs w:val="30"/>
        </w:rPr>
        <w:t>SIPA</w:t>
      </w:r>
      <w:r w:rsidRPr="002127DF">
        <w:rPr>
          <w:rStyle w:val="tlid-translation"/>
          <w:rFonts w:hint="eastAsia"/>
          <w:sz w:val="30"/>
          <w:szCs w:val="30"/>
        </w:rPr>
        <w:t>）受托人</w:t>
      </w:r>
      <w:r w:rsidRPr="002127DF">
        <w:rPr>
          <w:rStyle w:val="tlid-translation"/>
          <w:rFonts w:hint="eastAsia"/>
          <w:sz w:val="30"/>
          <w:szCs w:val="30"/>
        </w:rPr>
        <w:t>Irving H. Picard</w:t>
      </w:r>
      <w:r w:rsidRPr="002127DF">
        <w:rPr>
          <w:rStyle w:val="tlid-translation"/>
          <w:rFonts w:hint="eastAsia"/>
          <w:sz w:val="30"/>
          <w:szCs w:val="30"/>
        </w:rPr>
        <w:t>宣布，客户基金向符合条件的</w:t>
      </w:r>
      <w:r w:rsidRPr="002127DF">
        <w:rPr>
          <w:rStyle w:val="tlid-translation"/>
          <w:rFonts w:hint="eastAsia"/>
          <w:sz w:val="30"/>
          <w:szCs w:val="30"/>
        </w:rPr>
        <w:t>BLMIS</w:t>
      </w:r>
      <w:r w:rsidRPr="002127DF">
        <w:rPr>
          <w:rStyle w:val="tlid-translation"/>
          <w:rFonts w:hint="eastAsia"/>
          <w:sz w:val="30"/>
          <w:szCs w:val="30"/>
        </w:rPr>
        <w:t>客户的按比例中期分配将于当天开始进行。</w:t>
      </w:r>
    </w:p>
    <w:p w:rsidR="00596D15" w:rsidRPr="002127DF" w:rsidRDefault="00596D15" w:rsidP="00596D15">
      <w:pPr>
        <w:ind w:firstLineChars="200" w:firstLine="600"/>
        <w:rPr>
          <w:rStyle w:val="tlid-translation"/>
          <w:sz w:val="30"/>
          <w:szCs w:val="30"/>
        </w:rPr>
      </w:pPr>
      <w:r w:rsidRPr="002127DF">
        <w:rPr>
          <w:rStyle w:val="tlid-translation"/>
          <w:rFonts w:hint="eastAsia"/>
          <w:sz w:val="30"/>
          <w:szCs w:val="30"/>
        </w:rPr>
        <w:t>具体来看，</w:t>
      </w:r>
      <w:r w:rsidRPr="002127DF">
        <w:rPr>
          <w:rStyle w:val="tlid-translation"/>
          <w:rFonts w:hint="eastAsia"/>
          <w:sz w:val="30"/>
          <w:szCs w:val="30"/>
        </w:rPr>
        <w:t>SIPA</w:t>
      </w:r>
      <w:r w:rsidRPr="002127DF">
        <w:rPr>
          <w:rStyle w:val="tlid-translation"/>
          <w:rFonts w:hint="eastAsia"/>
          <w:sz w:val="30"/>
          <w:szCs w:val="30"/>
        </w:rPr>
        <w:t>受托人将按比例向</w:t>
      </w:r>
      <w:r w:rsidRPr="002127DF">
        <w:rPr>
          <w:rStyle w:val="tlid-translation"/>
          <w:rFonts w:hint="eastAsia"/>
          <w:sz w:val="30"/>
          <w:szCs w:val="30"/>
        </w:rPr>
        <w:t>BLMIS</w:t>
      </w:r>
      <w:r w:rsidRPr="002127DF">
        <w:rPr>
          <w:rStyle w:val="tlid-translation"/>
          <w:rFonts w:hint="eastAsia"/>
          <w:sz w:val="30"/>
          <w:szCs w:val="30"/>
        </w:rPr>
        <w:t>账户持有人分配大约</w:t>
      </w:r>
      <w:r w:rsidRPr="002127DF">
        <w:rPr>
          <w:rStyle w:val="tlid-translation"/>
          <w:rFonts w:hint="eastAsia"/>
          <w:sz w:val="30"/>
          <w:szCs w:val="30"/>
        </w:rPr>
        <w:t>4.64</w:t>
      </w:r>
      <w:r w:rsidRPr="002127DF">
        <w:rPr>
          <w:rStyle w:val="tlid-translation"/>
          <w:rFonts w:hint="eastAsia"/>
          <w:sz w:val="30"/>
          <w:szCs w:val="30"/>
        </w:rPr>
        <w:t>亿美元。第十次按比例中期分配与前九次分配相加，每个客户可获得赔偿金的</w:t>
      </w:r>
      <w:r w:rsidRPr="002127DF">
        <w:rPr>
          <w:rStyle w:val="tlid-translation"/>
          <w:rFonts w:hint="eastAsia"/>
          <w:sz w:val="30"/>
          <w:szCs w:val="30"/>
        </w:rPr>
        <w:t>66.633</w:t>
      </w:r>
      <w:r w:rsidRPr="002127DF">
        <w:rPr>
          <w:rStyle w:val="tlid-translation"/>
          <w:rFonts w:hint="eastAsia"/>
          <w:sz w:val="30"/>
          <w:szCs w:val="30"/>
        </w:rPr>
        <w:t>％。分配给符合条件的</w:t>
      </w:r>
      <w:r w:rsidRPr="002127DF">
        <w:rPr>
          <w:rStyle w:val="tlid-translation"/>
          <w:rFonts w:hint="eastAsia"/>
          <w:sz w:val="30"/>
          <w:szCs w:val="30"/>
        </w:rPr>
        <w:t>BLMIS</w:t>
      </w:r>
      <w:r w:rsidRPr="002127DF">
        <w:rPr>
          <w:rStyle w:val="tlid-translation"/>
          <w:rFonts w:hint="eastAsia"/>
          <w:sz w:val="30"/>
          <w:szCs w:val="30"/>
        </w:rPr>
        <w:t>客户的总金额将超过</w:t>
      </w:r>
      <w:r w:rsidRPr="002127DF">
        <w:rPr>
          <w:rStyle w:val="tlid-translation"/>
          <w:rFonts w:hint="eastAsia"/>
          <w:sz w:val="30"/>
          <w:szCs w:val="30"/>
        </w:rPr>
        <w:t>120</w:t>
      </w:r>
      <w:r w:rsidRPr="002127DF">
        <w:rPr>
          <w:rStyle w:val="tlid-translation"/>
          <w:rFonts w:hint="eastAsia"/>
          <w:sz w:val="30"/>
          <w:szCs w:val="30"/>
        </w:rPr>
        <w:t>亿美元，其中，包括证券投资者保护公司（</w:t>
      </w:r>
      <w:r w:rsidRPr="002127DF">
        <w:rPr>
          <w:rStyle w:val="tlid-translation"/>
          <w:rFonts w:hint="eastAsia"/>
          <w:sz w:val="30"/>
          <w:szCs w:val="30"/>
        </w:rPr>
        <w:t>SIPC</w:t>
      </w:r>
      <w:r w:rsidRPr="002127DF">
        <w:rPr>
          <w:rStyle w:val="tlid-translation"/>
          <w:rFonts w:hint="eastAsia"/>
          <w:sz w:val="30"/>
          <w:szCs w:val="30"/>
        </w:rPr>
        <w:t>）承诺的约</w:t>
      </w:r>
      <w:r w:rsidRPr="002127DF">
        <w:rPr>
          <w:rStyle w:val="tlid-translation"/>
          <w:rFonts w:hint="eastAsia"/>
          <w:sz w:val="30"/>
          <w:szCs w:val="30"/>
        </w:rPr>
        <w:t>84516</w:t>
      </w:r>
      <w:r w:rsidRPr="002127DF">
        <w:rPr>
          <w:rStyle w:val="tlid-translation"/>
          <w:rFonts w:hint="eastAsia"/>
          <w:sz w:val="30"/>
          <w:szCs w:val="30"/>
        </w:rPr>
        <w:t>万美元预付款。所有获赔的客户索赔（高达</w:t>
      </w:r>
      <w:r w:rsidRPr="002127DF">
        <w:rPr>
          <w:rStyle w:val="tlid-translation"/>
          <w:rFonts w:hint="eastAsia"/>
          <w:sz w:val="30"/>
          <w:szCs w:val="30"/>
        </w:rPr>
        <w:t>149</w:t>
      </w:r>
      <w:r w:rsidRPr="002127DF">
        <w:rPr>
          <w:rStyle w:val="tlid-translation"/>
          <w:rFonts w:hint="eastAsia"/>
          <w:sz w:val="30"/>
          <w:szCs w:val="30"/>
        </w:rPr>
        <w:t>万美元）将在分配后全部到位。</w:t>
      </w:r>
    </w:p>
    <w:p w:rsidR="00596D15" w:rsidRPr="002127DF" w:rsidRDefault="00596D15" w:rsidP="00596D15">
      <w:pPr>
        <w:ind w:firstLineChars="200" w:firstLine="600"/>
        <w:rPr>
          <w:sz w:val="30"/>
          <w:szCs w:val="30"/>
        </w:rPr>
      </w:pPr>
      <w:r w:rsidRPr="002127DF">
        <w:rPr>
          <w:rStyle w:val="tlid-translation"/>
          <w:rFonts w:hint="eastAsia"/>
          <w:sz w:val="30"/>
          <w:szCs w:val="30"/>
        </w:rPr>
        <w:t>自</w:t>
      </w:r>
      <w:r w:rsidRPr="002127DF">
        <w:rPr>
          <w:rStyle w:val="tlid-translation"/>
          <w:rFonts w:hint="eastAsia"/>
          <w:sz w:val="30"/>
          <w:szCs w:val="30"/>
        </w:rPr>
        <w:t>2008</w:t>
      </w:r>
      <w:r w:rsidRPr="002127DF">
        <w:rPr>
          <w:rStyle w:val="tlid-translation"/>
          <w:rFonts w:hint="eastAsia"/>
          <w:sz w:val="30"/>
          <w:szCs w:val="30"/>
        </w:rPr>
        <w:t>年</w:t>
      </w:r>
      <w:r w:rsidRPr="002127DF">
        <w:rPr>
          <w:rStyle w:val="tlid-translation"/>
          <w:rFonts w:hint="eastAsia"/>
          <w:sz w:val="30"/>
          <w:szCs w:val="30"/>
        </w:rPr>
        <w:t>12</w:t>
      </w:r>
      <w:r w:rsidRPr="002127DF">
        <w:rPr>
          <w:rStyle w:val="tlid-translation"/>
          <w:rFonts w:hint="eastAsia"/>
          <w:sz w:val="30"/>
          <w:szCs w:val="30"/>
        </w:rPr>
        <w:t>月以来，截至</w:t>
      </w:r>
      <w:r w:rsidRPr="002127DF">
        <w:rPr>
          <w:rStyle w:val="tlid-translation"/>
          <w:rFonts w:hint="eastAsia"/>
          <w:sz w:val="30"/>
          <w:szCs w:val="30"/>
        </w:rPr>
        <w:t>2019</w:t>
      </w:r>
      <w:r w:rsidRPr="002127DF">
        <w:rPr>
          <w:rStyle w:val="tlid-translation"/>
          <w:rFonts w:hint="eastAsia"/>
          <w:sz w:val="30"/>
          <w:szCs w:val="30"/>
        </w:rPr>
        <w:t>年</w:t>
      </w:r>
      <w:r w:rsidRPr="002127DF">
        <w:rPr>
          <w:rStyle w:val="tlid-translation"/>
          <w:rFonts w:hint="eastAsia"/>
          <w:sz w:val="30"/>
          <w:szCs w:val="30"/>
        </w:rPr>
        <w:t>1</w:t>
      </w:r>
      <w:r w:rsidRPr="002127DF">
        <w:rPr>
          <w:rStyle w:val="tlid-translation"/>
          <w:rFonts w:hint="eastAsia"/>
          <w:sz w:val="30"/>
          <w:szCs w:val="30"/>
        </w:rPr>
        <w:t>月</w:t>
      </w:r>
      <w:r w:rsidRPr="002127DF">
        <w:rPr>
          <w:rStyle w:val="tlid-translation"/>
          <w:rFonts w:hint="eastAsia"/>
          <w:sz w:val="30"/>
          <w:szCs w:val="30"/>
        </w:rPr>
        <w:t>31</w:t>
      </w:r>
      <w:r w:rsidRPr="002127DF">
        <w:rPr>
          <w:rStyle w:val="tlid-translation"/>
          <w:rFonts w:hint="eastAsia"/>
          <w:sz w:val="30"/>
          <w:szCs w:val="30"/>
        </w:rPr>
        <w:t>日，基于麦道</w:t>
      </w:r>
      <w:proofErr w:type="gramStart"/>
      <w:r w:rsidRPr="002127DF">
        <w:rPr>
          <w:rStyle w:val="tlid-translation"/>
          <w:rFonts w:hint="eastAsia"/>
          <w:sz w:val="30"/>
          <w:szCs w:val="30"/>
        </w:rPr>
        <w:t>夫恢复</w:t>
      </w:r>
      <w:proofErr w:type="gramEnd"/>
      <w:r w:rsidRPr="002127DF">
        <w:rPr>
          <w:rStyle w:val="tlid-translation"/>
          <w:rFonts w:hint="eastAsia"/>
          <w:sz w:val="30"/>
          <w:szCs w:val="30"/>
        </w:rPr>
        <w:t>计划协议，</w:t>
      </w:r>
      <w:r w:rsidRPr="002127DF">
        <w:rPr>
          <w:rStyle w:val="tlid-translation"/>
          <w:rFonts w:hint="eastAsia"/>
          <w:sz w:val="30"/>
          <w:szCs w:val="30"/>
        </w:rPr>
        <w:t>SIPA</w:t>
      </w:r>
      <w:r w:rsidRPr="002127DF">
        <w:rPr>
          <w:rStyle w:val="tlid-translation"/>
          <w:rFonts w:hint="eastAsia"/>
          <w:sz w:val="30"/>
          <w:szCs w:val="30"/>
        </w:rPr>
        <w:t>受托人已经积累获赔接近</w:t>
      </w:r>
      <w:r w:rsidRPr="002127DF">
        <w:rPr>
          <w:rStyle w:val="tlid-translation"/>
          <w:rFonts w:hint="eastAsia"/>
          <w:sz w:val="30"/>
          <w:szCs w:val="30"/>
        </w:rPr>
        <w:t>134</w:t>
      </w:r>
      <w:r w:rsidRPr="002127DF">
        <w:rPr>
          <w:rStyle w:val="tlid-translation"/>
          <w:rFonts w:hint="eastAsia"/>
          <w:sz w:val="30"/>
          <w:szCs w:val="30"/>
        </w:rPr>
        <w:t>亿美元。</w:t>
      </w:r>
      <w:proofErr w:type="gramStart"/>
      <w:r w:rsidRPr="002127DF">
        <w:rPr>
          <w:rStyle w:val="tlid-translation"/>
          <w:rFonts w:hint="eastAsia"/>
          <w:sz w:val="30"/>
          <w:szCs w:val="30"/>
        </w:rPr>
        <w:t>就美元</w:t>
      </w:r>
      <w:proofErr w:type="gramEnd"/>
      <w:r w:rsidRPr="002127DF">
        <w:rPr>
          <w:rStyle w:val="tlid-translation"/>
          <w:rFonts w:hint="eastAsia"/>
          <w:sz w:val="30"/>
          <w:szCs w:val="30"/>
        </w:rPr>
        <w:t>价值和收回被盗资金比例而言，这些资金回收情况好于相关案例</w:t>
      </w:r>
      <w:r w:rsidR="00271F14">
        <w:rPr>
          <w:rStyle w:val="tlid-translation"/>
          <w:rFonts w:hint="eastAsia"/>
          <w:sz w:val="30"/>
          <w:szCs w:val="30"/>
        </w:rPr>
        <w:t>的</w:t>
      </w:r>
      <w:r w:rsidRPr="002127DF">
        <w:rPr>
          <w:rStyle w:val="tlid-translation"/>
          <w:rFonts w:hint="eastAsia"/>
          <w:sz w:val="30"/>
          <w:szCs w:val="30"/>
        </w:rPr>
        <w:t>情况。</w:t>
      </w:r>
    </w:p>
    <w:p w:rsidR="00596D15" w:rsidRPr="002127DF" w:rsidRDefault="00596D15" w:rsidP="00596D15">
      <w:pPr>
        <w:ind w:firstLineChars="200" w:firstLine="600"/>
        <w:rPr>
          <w:rStyle w:val="tlid-translation"/>
          <w:sz w:val="30"/>
          <w:szCs w:val="30"/>
        </w:rPr>
      </w:pPr>
      <w:r w:rsidRPr="002127DF">
        <w:rPr>
          <w:rStyle w:val="tlid-translation"/>
          <w:rFonts w:hint="eastAsia"/>
          <w:sz w:val="30"/>
          <w:szCs w:val="30"/>
        </w:rPr>
        <w:lastRenderedPageBreak/>
        <w:t>最终，</w:t>
      </w:r>
      <w:r w:rsidRPr="002127DF">
        <w:rPr>
          <w:rStyle w:val="tlid-translation"/>
          <w:rFonts w:hint="eastAsia"/>
          <w:sz w:val="30"/>
          <w:szCs w:val="30"/>
        </w:rPr>
        <w:t>100</w:t>
      </w:r>
      <w:r w:rsidRPr="002127DF">
        <w:rPr>
          <w:rStyle w:val="tlid-translation"/>
          <w:rFonts w:hint="eastAsia"/>
          <w:sz w:val="30"/>
          <w:szCs w:val="30"/>
        </w:rPr>
        <w:t>％的</w:t>
      </w:r>
      <w:r w:rsidRPr="002127DF">
        <w:rPr>
          <w:rStyle w:val="tlid-translation"/>
          <w:rFonts w:hint="eastAsia"/>
          <w:sz w:val="30"/>
          <w:szCs w:val="30"/>
        </w:rPr>
        <w:t>SIPA</w:t>
      </w:r>
      <w:r w:rsidRPr="002127DF">
        <w:rPr>
          <w:rStyle w:val="tlid-translation"/>
          <w:rFonts w:hint="eastAsia"/>
          <w:sz w:val="30"/>
          <w:szCs w:val="30"/>
        </w:rPr>
        <w:t>受托人的回收资金将被分配给客户基金，以便在合理范围内分发给</w:t>
      </w:r>
      <w:r w:rsidRPr="002127DF">
        <w:rPr>
          <w:rStyle w:val="tlid-translation"/>
          <w:rFonts w:hint="eastAsia"/>
          <w:sz w:val="30"/>
          <w:szCs w:val="30"/>
        </w:rPr>
        <w:t>BLMIS</w:t>
      </w:r>
      <w:r w:rsidRPr="002127DF">
        <w:rPr>
          <w:rStyle w:val="tlid-translation"/>
          <w:rFonts w:hint="eastAsia"/>
          <w:sz w:val="30"/>
          <w:szCs w:val="30"/>
        </w:rPr>
        <w:t>客户。所收回的资金不得用于支付行政费用，所有受托人、法律和会计费用以及行政费用将由</w:t>
      </w:r>
      <w:r w:rsidRPr="002127DF">
        <w:rPr>
          <w:rStyle w:val="tlid-translation"/>
          <w:rFonts w:hint="eastAsia"/>
          <w:sz w:val="30"/>
          <w:szCs w:val="30"/>
        </w:rPr>
        <w:t>SIPC</w:t>
      </w:r>
      <w:r w:rsidRPr="002127DF">
        <w:rPr>
          <w:rStyle w:val="tlid-translation"/>
          <w:rFonts w:hint="eastAsia"/>
          <w:sz w:val="30"/>
          <w:szCs w:val="30"/>
        </w:rPr>
        <w:t>支付。</w:t>
      </w:r>
    </w:p>
    <w:p w:rsidR="00627EB3" w:rsidRDefault="00596D15" w:rsidP="00FC0BC5">
      <w:pPr>
        <w:ind w:firstLineChars="200" w:firstLine="600"/>
        <w:rPr>
          <w:rStyle w:val="tlid-translation"/>
          <w:sz w:val="30"/>
          <w:szCs w:val="30"/>
        </w:rPr>
      </w:pPr>
      <w:r w:rsidRPr="002127DF">
        <w:rPr>
          <w:rStyle w:val="tlid-translation"/>
          <w:rFonts w:hint="eastAsia"/>
          <w:sz w:val="30"/>
          <w:szCs w:val="30"/>
        </w:rPr>
        <w:t>网址链接</w:t>
      </w:r>
      <w:r w:rsidR="00FC0BC5">
        <w:rPr>
          <w:rStyle w:val="tlid-translation"/>
          <w:rFonts w:hint="eastAsia"/>
          <w:sz w:val="30"/>
          <w:szCs w:val="30"/>
        </w:rPr>
        <w:t>：</w:t>
      </w:r>
    </w:p>
    <w:p w:rsidR="00596D15" w:rsidRPr="002127DF" w:rsidRDefault="009D05E8" w:rsidP="00627EB3">
      <w:pPr>
        <w:ind w:firstLineChars="200" w:firstLine="480"/>
        <w:rPr>
          <w:color w:val="0563C1" w:themeColor="hyperlink"/>
          <w:sz w:val="30"/>
          <w:szCs w:val="30"/>
          <w:u w:val="single"/>
        </w:rPr>
      </w:pPr>
      <w:hyperlink r:id="rId20" w:history="1">
        <w:r w:rsidR="00596D15" w:rsidRPr="002127DF">
          <w:rPr>
            <w:rStyle w:val="a8"/>
            <w:rFonts w:hint="eastAsia"/>
            <w:sz w:val="30"/>
            <w:szCs w:val="30"/>
          </w:rPr>
          <w:t>https://www.sipc.org/news-and-media/news-releases/20190222</w:t>
        </w:r>
      </w:hyperlink>
    </w:p>
    <w:p w:rsidR="00596D15" w:rsidRPr="002127DF" w:rsidRDefault="00596D15" w:rsidP="00596D15">
      <w:pPr>
        <w:rPr>
          <w:rStyle w:val="a8"/>
          <w:color w:val="000000" w:themeColor="text1"/>
          <w:sz w:val="30"/>
          <w:szCs w:val="30"/>
        </w:rPr>
      </w:pPr>
    </w:p>
    <w:p w:rsidR="00596D15" w:rsidRPr="002127DF" w:rsidRDefault="00485222" w:rsidP="00271F14">
      <w:pPr>
        <w:spacing w:beforeLines="100" w:afterLines="100"/>
        <w:outlineLvl w:val="1"/>
        <w:rPr>
          <w:rFonts w:eastAsiaTheme="majorEastAsia"/>
          <w:b/>
          <w:kern w:val="2"/>
          <w:sz w:val="30"/>
          <w:szCs w:val="30"/>
        </w:rPr>
      </w:pPr>
      <w:r w:rsidRPr="002127DF">
        <w:rPr>
          <w:rFonts w:eastAsiaTheme="majorEastAsia" w:hint="eastAsia"/>
          <w:b/>
          <w:kern w:val="2"/>
          <w:sz w:val="30"/>
          <w:szCs w:val="30"/>
        </w:rPr>
        <w:t>MOEX</w:t>
      </w:r>
      <w:r w:rsidR="00197499" w:rsidRPr="002127DF">
        <w:rPr>
          <w:rFonts w:eastAsiaTheme="majorEastAsia" w:hAnsiTheme="majorEastAsia" w:hint="eastAsia"/>
          <w:b/>
          <w:kern w:val="2"/>
          <w:sz w:val="30"/>
          <w:szCs w:val="30"/>
        </w:rPr>
        <w:t>：发布中小投资者最新情况</w:t>
      </w:r>
      <w:r w:rsidR="00197499" w:rsidRPr="002127DF">
        <w:rPr>
          <w:rFonts w:eastAsiaTheme="majorEastAsia" w:hint="eastAsia"/>
          <w:b/>
          <w:kern w:val="2"/>
          <w:sz w:val="30"/>
          <w:szCs w:val="30"/>
        </w:rPr>
        <w:t>——</w:t>
      </w:r>
      <w:r w:rsidR="00197499" w:rsidRPr="002127DF">
        <w:rPr>
          <w:rFonts w:eastAsiaTheme="majorEastAsia" w:hAnsiTheme="majorEastAsia" w:hint="eastAsia"/>
          <w:b/>
          <w:kern w:val="2"/>
          <w:sz w:val="30"/>
          <w:szCs w:val="30"/>
        </w:rPr>
        <w:t>数量</w:t>
      </w:r>
      <w:r w:rsidR="00596D15" w:rsidRPr="002127DF">
        <w:rPr>
          <w:rFonts w:eastAsiaTheme="majorEastAsia" w:hAnsiTheme="majorEastAsia" w:hint="eastAsia"/>
          <w:b/>
          <w:kern w:val="2"/>
          <w:sz w:val="30"/>
          <w:szCs w:val="30"/>
        </w:rPr>
        <w:t>突破</w:t>
      </w:r>
      <w:r w:rsidR="00596D15" w:rsidRPr="002127DF">
        <w:rPr>
          <w:rFonts w:eastAsiaTheme="majorEastAsia" w:hint="eastAsia"/>
          <w:b/>
          <w:kern w:val="2"/>
          <w:sz w:val="30"/>
          <w:szCs w:val="30"/>
        </w:rPr>
        <w:t>200</w:t>
      </w:r>
      <w:bookmarkStart w:id="23" w:name="OLE_LINK6"/>
      <w:bookmarkStart w:id="24" w:name="OLE_LINK5"/>
      <w:r w:rsidR="00596D15" w:rsidRPr="002127DF">
        <w:rPr>
          <w:rFonts w:eastAsiaTheme="majorEastAsia" w:hAnsiTheme="majorEastAsia" w:hint="eastAsia"/>
          <w:b/>
          <w:kern w:val="2"/>
          <w:sz w:val="30"/>
          <w:szCs w:val="30"/>
        </w:rPr>
        <w:t>万大关</w:t>
      </w:r>
    </w:p>
    <w:p w:rsidR="00596D15" w:rsidRPr="002127DF" w:rsidRDefault="00596D15" w:rsidP="00596D15">
      <w:pPr>
        <w:ind w:firstLineChars="200" w:firstLine="600"/>
        <w:jc w:val="both"/>
        <w:rPr>
          <w:sz w:val="30"/>
          <w:szCs w:val="30"/>
        </w:rPr>
      </w:pPr>
      <w:r w:rsidRPr="002127DF">
        <w:rPr>
          <w:rStyle w:val="tlid-translation"/>
          <w:rFonts w:hint="eastAsia"/>
          <w:sz w:val="30"/>
          <w:szCs w:val="30"/>
        </w:rPr>
        <w:t>2019</w:t>
      </w:r>
      <w:r w:rsidRPr="002127DF">
        <w:rPr>
          <w:rStyle w:val="tlid-translation"/>
          <w:rFonts w:hint="eastAsia"/>
          <w:sz w:val="30"/>
          <w:szCs w:val="30"/>
        </w:rPr>
        <w:t>年</w:t>
      </w:r>
      <w:r w:rsidRPr="002127DF">
        <w:rPr>
          <w:rStyle w:val="tlid-translation"/>
          <w:rFonts w:hint="eastAsia"/>
          <w:sz w:val="30"/>
          <w:szCs w:val="30"/>
        </w:rPr>
        <w:t>1</w:t>
      </w:r>
      <w:r w:rsidRPr="002127DF">
        <w:rPr>
          <w:rStyle w:val="tlid-translation"/>
          <w:rFonts w:hint="eastAsia"/>
          <w:sz w:val="30"/>
          <w:szCs w:val="30"/>
        </w:rPr>
        <w:t>月</w:t>
      </w:r>
      <w:r w:rsidRPr="002127DF">
        <w:rPr>
          <w:rStyle w:val="tlid-translation"/>
          <w:rFonts w:hint="eastAsia"/>
          <w:sz w:val="30"/>
          <w:szCs w:val="30"/>
        </w:rPr>
        <w:t>31</w:t>
      </w:r>
      <w:r w:rsidRPr="002127DF">
        <w:rPr>
          <w:rStyle w:val="tlid-translation"/>
          <w:rFonts w:hint="eastAsia"/>
          <w:sz w:val="30"/>
          <w:szCs w:val="30"/>
        </w:rPr>
        <w:t>日，第</w:t>
      </w:r>
      <w:r w:rsidRPr="002127DF">
        <w:rPr>
          <w:rStyle w:val="tlid-translation"/>
          <w:rFonts w:hint="eastAsia"/>
          <w:sz w:val="30"/>
          <w:szCs w:val="30"/>
        </w:rPr>
        <w:t>200</w:t>
      </w:r>
      <w:r w:rsidRPr="002127DF">
        <w:rPr>
          <w:rStyle w:val="tlid-translation"/>
          <w:rFonts w:hint="eastAsia"/>
          <w:sz w:val="30"/>
          <w:szCs w:val="30"/>
        </w:rPr>
        <w:t>万名中小投资者在莫斯科交易所注册账户。仅</w:t>
      </w:r>
      <w:r w:rsidRPr="002127DF">
        <w:rPr>
          <w:rStyle w:val="tlid-translation"/>
          <w:rFonts w:hint="eastAsia"/>
          <w:sz w:val="30"/>
          <w:szCs w:val="30"/>
        </w:rPr>
        <w:t>2018</w:t>
      </w:r>
      <w:r w:rsidRPr="002127DF">
        <w:rPr>
          <w:rStyle w:val="tlid-translation"/>
          <w:rFonts w:hint="eastAsia"/>
          <w:sz w:val="30"/>
          <w:szCs w:val="30"/>
        </w:rPr>
        <w:t>年就有超过</w:t>
      </w:r>
      <w:r w:rsidRPr="002127DF">
        <w:rPr>
          <w:rStyle w:val="tlid-translation"/>
          <w:rFonts w:hint="eastAsia"/>
          <w:sz w:val="30"/>
          <w:szCs w:val="30"/>
        </w:rPr>
        <w:t>70</w:t>
      </w:r>
      <w:r w:rsidRPr="002127DF">
        <w:rPr>
          <w:rStyle w:val="tlid-translation"/>
          <w:rFonts w:hint="eastAsia"/>
          <w:sz w:val="30"/>
          <w:szCs w:val="30"/>
        </w:rPr>
        <w:t>万俄罗斯人获得了在交易所交易的权限。</w:t>
      </w:r>
    </w:p>
    <w:p w:rsidR="00596D15" w:rsidRPr="002127DF" w:rsidRDefault="00596D15" w:rsidP="00596D15">
      <w:pPr>
        <w:ind w:firstLineChars="200" w:firstLine="600"/>
        <w:jc w:val="both"/>
        <w:rPr>
          <w:rStyle w:val="tlid-translation"/>
          <w:sz w:val="30"/>
          <w:szCs w:val="30"/>
        </w:rPr>
      </w:pPr>
      <w:r w:rsidRPr="002127DF">
        <w:rPr>
          <w:rStyle w:val="tlid-translation"/>
          <w:rFonts w:hint="eastAsia"/>
          <w:sz w:val="30"/>
          <w:szCs w:val="30"/>
        </w:rPr>
        <w:t>截至</w:t>
      </w:r>
      <w:r w:rsidRPr="002127DF">
        <w:rPr>
          <w:rStyle w:val="tlid-translation"/>
          <w:rFonts w:hint="eastAsia"/>
          <w:sz w:val="30"/>
          <w:szCs w:val="30"/>
        </w:rPr>
        <w:t>2019</w:t>
      </w:r>
      <w:r w:rsidRPr="002127DF">
        <w:rPr>
          <w:rStyle w:val="tlid-translation"/>
          <w:rFonts w:hint="eastAsia"/>
          <w:sz w:val="30"/>
          <w:szCs w:val="30"/>
        </w:rPr>
        <w:t>年</w:t>
      </w:r>
      <w:r w:rsidRPr="002127DF">
        <w:rPr>
          <w:rStyle w:val="tlid-translation"/>
          <w:rFonts w:hint="eastAsia"/>
          <w:sz w:val="30"/>
          <w:szCs w:val="30"/>
        </w:rPr>
        <w:t>1</w:t>
      </w:r>
      <w:r w:rsidRPr="002127DF">
        <w:rPr>
          <w:rStyle w:val="tlid-translation"/>
          <w:rFonts w:hint="eastAsia"/>
          <w:sz w:val="30"/>
          <w:szCs w:val="30"/>
        </w:rPr>
        <w:t>月</w:t>
      </w:r>
      <w:r w:rsidRPr="002127DF">
        <w:rPr>
          <w:rStyle w:val="tlid-translation"/>
          <w:rFonts w:hint="eastAsia"/>
          <w:sz w:val="30"/>
          <w:szCs w:val="30"/>
        </w:rPr>
        <w:t>31</w:t>
      </w:r>
      <w:r w:rsidRPr="002127DF">
        <w:rPr>
          <w:rStyle w:val="tlid-translation"/>
          <w:rFonts w:hint="eastAsia"/>
          <w:sz w:val="30"/>
          <w:szCs w:val="30"/>
        </w:rPr>
        <w:t>日，在莫斯科交易所注册的个人投资账户（</w:t>
      </w:r>
      <w:r w:rsidRPr="002127DF">
        <w:rPr>
          <w:rStyle w:val="tlid-translation"/>
          <w:rFonts w:hint="eastAsia"/>
          <w:sz w:val="30"/>
          <w:szCs w:val="30"/>
        </w:rPr>
        <w:t>IIA</w:t>
      </w:r>
      <w:r w:rsidRPr="002127DF">
        <w:rPr>
          <w:rStyle w:val="tlid-translation"/>
          <w:rFonts w:hint="eastAsia"/>
          <w:sz w:val="30"/>
          <w:szCs w:val="30"/>
        </w:rPr>
        <w:t>）达到</w:t>
      </w:r>
      <w:r w:rsidRPr="002127DF">
        <w:rPr>
          <w:rStyle w:val="tlid-translation"/>
          <w:rFonts w:hint="eastAsia"/>
          <w:sz w:val="30"/>
          <w:szCs w:val="30"/>
        </w:rPr>
        <w:t>636600</w:t>
      </w:r>
      <w:r w:rsidRPr="002127DF">
        <w:rPr>
          <w:rStyle w:val="tlid-translation"/>
          <w:rFonts w:hint="eastAsia"/>
          <w:sz w:val="30"/>
          <w:szCs w:val="30"/>
        </w:rPr>
        <w:t>个，占</w:t>
      </w:r>
      <w:r w:rsidR="00197499" w:rsidRPr="002127DF">
        <w:rPr>
          <w:rStyle w:val="tlid-translation"/>
          <w:rFonts w:hint="eastAsia"/>
          <w:sz w:val="30"/>
          <w:szCs w:val="30"/>
        </w:rPr>
        <w:t>其</w:t>
      </w:r>
      <w:r w:rsidR="00B77F75" w:rsidRPr="002127DF">
        <w:rPr>
          <w:rStyle w:val="tlid-translation"/>
          <w:rFonts w:hint="eastAsia"/>
          <w:sz w:val="30"/>
          <w:szCs w:val="30"/>
        </w:rPr>
        <w:t>零售</w:t>
      </w:r>
      <w:r w:rsidRPr="002127DF">
        <w:rPr>
          <w:rStyle w:val="tlid-translation"/>
          <w:rFonts w:hint="eastAsia"/>
          <w:sz w:val="30"/>
          <w:szCs w:val="30"/>
        </w:rPr>
        <w:t>账户中的大部分。为了激发投资者对俄罗斯证</w:t>
      </w:r>
      <w:r w:rsidR="00B77F75" w:rsidRPr="002127DF">
        <w:rPr>
          <w:rStyle w:val="tlid-translation"/>
          <w:rFonts w:hint="eastAsia"/>
          <w:sz w:val="30"/>
          <w:szCs w:val="30"/>
        </w:rPr>
        <w:t>券市场的关注，莫斯科交易所推出了可对进行投资的个人提供税收优惠</w:t>
      </w:r>
      <w:r w:rsidR="00271F14">
        <w:rPr>
          <w:rStyle w:val="tlid-translation"/>
          <w:rFonts w:hint="eastAsia"/>
          <w:sz w:val="30"/>
          <w:szCs w:val="30"/>
        </w:rPr>
        <w:t>的政策</w:t>
      </w:r>
      <w:r w:rsidRPr="002127DF">
        <w:rPr>
          <w:rStyle w:val="tlid-translation"/>
          <w:rFonts w:hint="eastAsia"/>
          <w:sz w:val="30"/>
          <w:szCs w:val="30"/>
        </w:rPr>
        <w:t>。</w:t>
      </w:r>
    </w:p>
    <w:p w:rsidR="00596D15" w:rsidRPr="002127DF" w:rsidRDefault="00596D15" w:rsidP="00596D15">
      <w:pPr>
        <w:ind w:firstLineChars="200" w:firstLine="600"/>
        <w:jc w:val="both"/>
        <w:rPr>
          <w:sz w:val="30"/>
          <w:szCs w:val="30"/>
        </w:rPr>
      </w:pPr>
      <w:r w:rsidRPr="002127DF">
        <w:rPr>
          <w:rStyle w:val="tlid-translation"/>
          <w:rFonts w:hint="eastAsia"/>
          <w:sz w:val="30"/>
          <w:szCs w:val="30"/>
        </w:rPr>
        <w:t>近年，受到税收激励以及日益复杂的数字技术和远程认证服务的推动，俄罗斯中小投资者可以通过相关服务远程开立经纪账户。值得一提的是，莫斯科交易所的在线客户注册工具可以使得中小投资者在通过银行或经纪人开立账户后的几分钟内即可开始交易。</w:t>
      </w:r>
    </w:p>
    <w:p w:rsidR="00596D15" w:rsidRPr="002127DF" w:rsidRDefault="00596D15" w:rsidP="00596D15">
      <w:pPr>
        <w:ind w:firstLineChars="200" w:firstLine="600"/>
        <w:jc w:val="both"/>
        <w:rPr>
          <w:rStyle w:val="tlid-translation"/>
          <w:sz w:val="30"/>
          <w:szCs w:val="30"/>
        </w:rPr>
      </w:pPr>
      <w:r w:rsidRPr="002127DF">
        <w:rPr>
          <w:rStyle w:val="tlid-translation"/>
          <w:rFonts w:hint="eastAsia"/>
          <w:sz w:val="30"/>
          <w:szCs w:val="30"/>
        </w:rPr>
        <w:lastRenderedPageBreak/>
        <w:t>对莫斯科交易所而言，中小投资者是其市场上的活跃交易者。</w:t>
      </w:r>
      <w:r w:rsidRPr="002127DF">
        <w:rPr>
          <w:rStyle w:val="tlid-translation"/>
          <w:rFonts w:hint="eastAsia"/>
          <w:sz w:val="30"/>
          <w:szCs w:val="30"/>
        </w:rPr>
        <w:t>2018</w:t>
      </w:r>
      <w:r w:rsidRPr="002127DF">
        <w:rPr>
          <w:rStyle w:val="tlid-translation"/>
          <w:rFonts w:hint="eastAsia"/>
          <w:sz w:val="30"/>
          <w:szCs w:val="30"/>
        </w:rPr>
        <w:t>年，个人投资者</w:t>
      </w:r>
      <w:r w:rsidR="00B77F75" w:rsidRPr="002127DF">
        <w:rPr>
          <w:rStyle w:val="tlid-translation"/>
          <w:rFonts w:hint="eastAsia"/>
          <w:sz w:val="30"/>
          <w:szCs w:val="30"/>
        </w:rPr>
        <w:t>的投资</w:t>
      </w:r>
      <w:r w:rsidRPr="002127DF">
        <w:rPr>
          <w:rStyle w:val="tlid-translation"/>
          <w:rFonts w:hint="eastAsia"/>
          <w:sz w:val="30"/>
          <w:szCs w:val="30"/>
        </w:rPr>
        <w:t>占股票</w:t>
      </w:r>
      <w:r w:rsidR="00B77F75" w:rsidRPr="002127DF">
        <w:rPr>
          <w:rStyle w:val="tlid-translation"/>
          <w:rFonts w:hint="eastAsia"/>
          <w:sz w:val="30"/>
          <w:szCs w:val="30"/>
        </w:rPr>
        <w:t>总成交额</w:t>
      </w:r>
      <w:r w:rsidRPr="002127DF">
        <w:rPr>
          <w:rStyle w:val="tlid-translation"/>
          <w:rFonts w:hint="eastAsia"/>
          <w:sz w:val="30"/>
          <w:szCs w:val="30"/>
        </w:rPr>
        <w:t>的</w:t>
      </w:r>
      <w:r w:rsidRPr="002127DF">
        <w:rPr>
          <w:rStyle w:val="tlid-translation"/>
          <w:rFonts w:hint="eastAsia"/>
          <w:sz w:val="30"/>
          <w:szCs w:val="30"/>
        </w:rPr>
        <w:t>35</w:t>
      </w:r>
      <w:r w:rsidRPr="002127DF">
        <w:rPr>
          <w:rStyle w:val="tlid-translation"/>
          <w:rFonts w:hint="eastAsia"/>
          <w:sz w:val="30"/>
          <w:szCs w:val="30"/>
        </w:rPr>
        <w:t>％、占债券的</w:t>
      </w:r>
      <w:r w:rsidRPr="002127DF">
        <w:rPr>
          <w:rStyle w:val="tlid-translation"/>
          <w:rFonts w:hint="eastAsia"/>
          <w:sz w:val="30"/>
          <w:szCs w:val="30"/>
        </w:rPr>
        <w:t>7</w:t>
      </w:r>
      <w:r w:rsidR="00271F14">
        <w:rPr>
          <w:rStyle w:val="tlid-translation"/>
          <w:rFonts w:hint="eastAsia"/>
          <w:sz w:val="30"/>
          <w:szCs w:val="30"/>
        </w:rPr>
        <w:t>％、占衍生品</w:t>
      </w:r>
      <w:r w:rsidRPr="002127DF">
        <w:rPr>
          <w:rStyle w:val="tlid-translation"/>
          <w:rFonts w:hint="eastAsia"/>
          <w:sz w:val="30"/>
          <w:szCs w:val="30"/>
        </w:rPr>
        <w:t>的</w:t>
      </w:r>
      <w:r w:rsidRPr="002127DF">
        <w:rPr>
          <w:rStyle w:val="tlid-translation"/>
          <w:rFonts w:hint="eastAsia"/>
          <w:sz w:val="30"/>
          <w:szCs w:val="30"/>
        </w:rPr>
        <w:t>43</w:t>
      </w:r>
      <w:r w:rsidRPr="002127DF">
        <w:rPr>
          <w:rStyle w:val="tlid-translation"/>
          <w:rFonts w:hint="eastAsia"/>
          <w:sz w:val="30"/>
          <w:szCs w:val="30"/>
        </w:rPr>
        <w:t>％；此外，作为债券发行的积极参与者，中小投资者在</w:t>
      </w:r>
      <w:r w:rsidRPr="002127DF">
        <w:rPr>
          <w:rStyle w:val="tlid-translation"/>
          <w:rFonts w:hint="eastAsia"/>
          <w:sz w:val="30"/>
          <w:szCs w:val="30"/>
        </w:rPr>
        <w:t>2018</w:t>
      </w:r>
      <w:r w:rsidRPr="002127DF">
        <w:rPr>
          <w:rStyle w:val="tlid-translation"/>
          <w:rFonts w:hint="eastAsia"/>
          <w:sz w:val="30"/>
          <w:szCs w:val="30"/>
        </w:rPr>
        <w:t>年购买了</w:t>
      </w:r>
      <w:r w:rsidRPr="002127DF">
        <w:rPr>
          <w:rStyle w:val="tlid-translation"/>
          <w:rFonts w:hint="eastAsia"/>
          <w:sz w:val="30"/>
          <w:szCs w:val="30"/>
        </w:rPr>
        <w:t>2510</w:t>
      </w:r>
      <w:r w:rsidRPr="002127DF">
        <w:rPr>
          <w:rStyle w:val="tlid-translation"/>
          <w:rFonts w:hint="eastAsia"/>
          <w:sz w:val="30"/>
          <w:szCs w:val="30"/>
        </w:rPr>
        <w:t>亿卢布的新公司债</w:t>
      </w:r>
      <w:proofErr w:type="gramStart"/>
      <w:r w:rsidRPr="002127DF">
        <w:rPr>
          <w:rStyle w:val="tlid-translation"/>
          <w:rFonts w:hint="eastAsia"/>
          <w:sz w:val="30"/>
          <w:szCs w:val="30"/>
        </w:rPr>
        <w:t>券</w:t>
      </w:r>
      <w:proofErr w:type="gramEnd"/>
      <w:r w:rsidRPr="002127DF">
        <w:rPr>
          <w:rStyle w:val="tlid-translation"/>
          <w:rFonts w:hint="eastAsia"/>
          <w:sz w:val="30"/>
          <w:szCs w:val="30"/>
        </w:rPr>
        <w:t>（占总交易量的</w:t>
      </w:r>
      <w:r w:rsidRPr="002127DF">
        <w:rPr>
          <w:rStyle w:val="tlid-translation"/>
          <w:rFonts w:hint="eastAsia"/>
          <w:sz w:val="30"/>
          <w:szCs w:val="30"/>
        </w:rPr>
        <w:t>10.9</w:t>
      </w:r>
      <w:r w:rsidRPr="002127DF">
        <w:rPr>
          <w:rStyle w:val="tlid-translation"/>
          <w:rFonts w:hint="eastAsia"/>
          <w:sz w:val="30"/>
          <w:szCs w:val="30"/>
        </w:rPr>
        <w:t>％以上）和</w:t>
      </w:r>
      <w:r w:rsidRPr="002127DF">
        <w:rPr>
          <w:rStyle w:val="tlid-translation"/>
          <w:rFonts w:hint="eastAsia"/>
          <w:sz w:val="30"/>
          <w:szCs w:val="30"/>
        </w:rPr>
        <w:t>742</w:t>
      </w:r>
      <w:r w:rsidRPr="002127DF">
        <w:rPr>
          <w:rStyle w:val="tlid-translation"/>
          <w:rFonts w:hint="eastAsia"/>
          <w:sz w:val="30"/>
          <w:szCs w:val="30"/>
        </w:rPr>
        <w:t>亿卢布的政府债券</w:t>
      </w:r>
      <w:r w:rsidR="00B77F75" w:rsidRPr="002127DF">
        <w:rPr>
          <w:rStyle w:val="tlid-translation"/>
          <w:rFonts w:hint="eastAsia"/>
          <w:sz w:val="30"/>
          <w:szCs w:val="30"/>
        </w:rPr>
        <w:t>（占总交易量</w:t>
      </w:r>
      <w:r w:rsidRPr="002127DF">
        <w:rPr>
          <w:rStyle w:val="tlid-translation"/>
          <w:rFonts w:hint="eastAsia"/>
          <w:sz w:val="30"/>
          <w:szCs w:val="30"/>
        </w:rPr>
        <w:t>的</w:t>
      </w:r>
      <w:r w:rsidRPr="002127DF">
        <w:rPr>
          <w:rStyle w:val="tlid-translation"/>
          <w:rFonts w:hint="eastAsia"/>
          <w:sz w:val="30"/>
          <w:szCs w:val="30"/>
        </w:rPr>
        <w:t>7.2</w:t>
      </w:r>
      <w:r w:rsidRPr="002127DF">
        <w:rPr>
          <w:rStyle w:val="tlid-translation"/>
          <w:rFonts w:hint="eastAsia"/>
          <w:sz w:val="30"/>
          <w:szCs w:val="30"/>
        </w:rPr>
        <w:t>％）。</w:t>
      </w:r>
    </w:p>
    <w:p w:rsidR="00596D15" w:rsidRPr="00FC0BC5" w:rsidRDefault="00596D15" w:rsidP="00FC0BC5">
      <w:pPr>
        <w:ind w:firstLineChars="200" w:firstLine="600"/>
        <w:rPr>
          <w:kern w:val="2"/>
          <w:sz w:val="30"/>
          <w:szCs w:val="30"/>
        </w:rPr>
      </w:pPr>
      <w:r w:rsidRPr="002127DF">
        <w:rPr>
          <w:rFonts w:hint="eastAsia"/>
          <w:kern w:val="2"/>
          <w:sz w:val="30"/>
          <w:szCs w:val="30"/>
        </w:rPr>
        <w:t>网址链接：</w:t>
      </w:r>
      <w:bookmarkEnd w:id="23"/>
      <w:bookmarkEnd w:id="24"/>
      <w:r w:rsidR="009D05E8" w:rsidRPr="002127DF">
        <w:fldChar w:fldCharType="begin"/>
      </w:r>
      <w:r w:rsidR="00EE7256" w:rsidRPr="002127DF">
        <w:instrText>HYPERLINK "https://www.moex.com/n22491/?nt=201"</w:instrText>
      </w:r>
      <w:r w:rsidR="009D05E8" w:rsidRPr="002127DF">
        <w:fldChar w:fldCharType="separate"/>
      </w:r>
      <w:r w:rsidRPr="002127DF">
        <w:rPr>
          <w:rStyle w:val="a8"/>
          <w:sz w:val="30"/>
          <w:szCs w:val="30"/>
        </w:rPr>
        <w:t>https://www.moex.com/n22491/?nt=201</w:t>
      </w:r>
      <w:r w:rsidR="009D05E8" w:rsidRPr="002127DF">
        <w:fldChar w:fldCharType="end"/>
      </w:r>
    </w:p>
    <w:p w:rsidR="00596D15" w:rsidRPr="002127DF" w:rsidRDefault="00596D15" w:rsidP="00596D15">
      <w:pPr>
        <w:rPr>
          <w:rStyle w:val="a8"/>
          <w:color w:val="000000" w:themeColor="text1"/>
          <w:sz w:val="30"/>
          <w:szCs w:val="30"/>
        </w:rPr>
      </w:pPr>
    </w:p>
    <w:p w:rsidR="00596D15" w:rsidRPr="002127DF" w:rsidRDefault="00596D15" w:rsidP="00271F14">
      <w:pPr>
        <w:spacing w:beforeLines="100" w:afterLines="100" w:line="360" w:lineRule="auto"/>
        <w:outlineLvl w:val="1"/>
        <w:rPr>
          <w:rFonts w:eastAsiaTheme="majorEastAsia" w:cs="Arial"/>
          <w:b/>
          <w:color w:val="000000" w:themeColor="text1"/>
          <w:sz w:val="30"/>
          <w:szCs w:val="30"/>
        </w:rPr>
      </w:pPr>
      <w:r w:rsidRPr="002127DF">
        <w:rPr>
          <w:rStyle w:val="a8"/>
          <w:rFonts w:eastAsiaTheme="majorEastAsia" w:hAnsiTheme="majorEastAsia" w:hint="eastAsia"/>
          <w:b/>
          <w:color w:val="000000" w:themeColor="text1"/>
          <w:sz w:val="30"/>
          <w:szCs w:val="30"/>
          <w:u w:val="none"/>
        </w:rPr>
        <w:t>马来西亚证券交易所：扩大交易功能，为投资者提供更多投资机会</w:t>
      </w:r>
    </w:p>
    <w:p w:rsidR="00596D15" w:rsidRPr="002127DF" w:rsidRDefault="00596D15" w:rsidP="00596D15">
      <w:pPr>
        <w:spacing w:line="360" w:lineRule="auto"/>
        <w:ind w:firstLineChars="200" w:firstLine="600"/>
        <w:rPr>
          <w:rStyle w:val="a8"/>
          <w:rFonts w:cs="Arial"/>
          <w:color w:val="000000" w:themeColor="text1"/>
          <w:sz w:val="30"/>
          <w:szCs w:val="30"/>
          <w:u w:val="none"/>
        </w:rPr>
      </w:pPr>
      <w:r w:rsidRPr="002127DF">
        <w:rPr>
          <w:rStyle w:val="a8"/>
          <w:rFonts w:cs="Arial" w:hint="eastAsia"/>
          <w:color w:val="000000" w:themeColor="text1"/>
          <w:sz w:val="30"/>
          <w:szCs w:val="30"/>
          <w:u w:val="none"/>
        </w:rPr>
        <w:t>2019</w:t>
      </w:r>
      <w:r w:rsidRPr="002127DF">
        <w:rPr>
          <w:rStyle w:val="a8"/>
          <w:rFonts w:cs="Arial" w:hint="eastAsia"/>
          <w:color w:val="000000" w:themeColor="text1"/>
          <w:sz w:val="30"/>
          <w:szCs w:val="30"/>
          <w:u w:val="none"/>
        </w:rPr>
        <w:t>年</w:t>
      </w:r>
      <w:r w:rsidRPr="002127DF">
        <w:rPr>
          <w:rStyle w:val="a8"/>
          <w:rFonts w:cs="Arial" w:hint="eastAsia"/>
          <w:color w:val="000000" w:themeColor="text1"/>
          <w:sz w:val="30"/>
          <w:szCs w:val="30"/>
          <w:u w:val="none"/>
        </w:rPr>
        <w:t>1</w:t>
      </w:r>
      <w:r w:rsidRPr="002127DF">
        <w:rPr>
          <w:rStyle w:val="a8"/>
          <w:rFonts w:cs="Arial" w:hint="eastAsia"/>
          <w:color w:val="000000" w:themeColor="text1"/>
          <w:sz w:val="30"/>
          <w:szCs w:val="30"/>
          <w:u w:val="none"/>
        </w:rPr>
        <w:t>月</w:t>
      </w:r>
      <w:r w:rsidRPr="002127DF">
        <w:rPr>
          <w:rStyle w:val="a8"/>
          <w:rFonts w:cs="Arial" w:hint="eastAsia"/>
          <w:color w:val="000000" w:themeColor="text1"/>
          <w:sz w:val="30"/>
          <w:szCs w:val="30"/>
          <w:u w:val="none"/>
        </w:rPr>
        <w:t>8</w:t>
      </w:r>
      <w:r w:rsidRPr="002127DF">
        <w:rPr>
          <w:rStyle w:val="a8"/>
          <w:rFonts w:cs="Arial" w:hint="eastAsia"/>
          <w:color w:val="000000" w:themeColor="text1"/>
          <w:sz w:val="30"/>
          <w:szCs w:val="30"/>
          <w:u w:val="none"/>
        </w:rPr>
        <w:t>日，马来西亚证券交易所扩大了其交易功能，使投资者能够实现更多丰富的交易策略，有助于投资者在股市环境中更有效地进行投资。</w:t>
      </w:r>
    </w:p>
    <w:p w:rsidR="00596D15" w:rsidRPr="002127DF" w:rsidRDefault="00596D15" w:rsidP="00B77F75">
      <w:pPr>
        <w:spacing w:line="360" w:lineRule="auto"/>
        <w:ind w:firstLineChars="200" w:firstLine="600"/>
        <w:rPr>
          <w:rStyle w:val="a8"/>
          <w:rFonts w:cs="Arial"/>
          <w:color w:val="000000" w:themeColor="text1"/>
          <w:sz w:val="30"/>
          <w:szCs w:val="30"/>
          <w:u w:val="none"/>
        </w:rPr>
      </w:pPr>
      <w:r w:rsidRPr="002127DF">
        <w:rPr>
          <w:rStyle w:val="a8"/>
          <w:rFonts w:cs="Arial" w:hint="eastAsia"/>
          <w:color w:val="000000" w:themeColor="text1"/>
          <w:sz w:val="30"/>
          <w:szCs w:val="30"/>
          <w:u w:val="none"/>
        </w:rPr>
        <w:t>新扩展的交易功能包括：一是收盘前市场订单，即允许投资者在收盘前时段输入市场订单；二是开盘价订单，即允许投资者在前一交易日收盘后下单，并且以当天的开盘价成交；三是收盘价订单，即允许投资者以收盘价买入或卖出股票，这类交易将在收盘时</w:t>
      </w:r>
      <w:r w:rsidR="00271F14">
        <w:rPr>
          <w:rStyle w:val="a8"/>
          <w:rFonts w:cs="Arial" w:hint="eastAsia"/>
          <w:color w:val="000000" w:themeColor="text1"/>
          <w:sz w:val="30"/>
          <w:szCs w:val="30"/>
          <w:u w:val="none"/>
        </w:rPr>
        <w:t>成交；四是冰山订单，即允许投资者有条件地要求购买或出售大量股票（但可见委托量较小，</w:t>
      </w:r>
      <w:r w:rsidRPr="002127DF">
        <w:rPr>
          <w:rStyle w:val="a8"/>
          <w:rFonts w:cs="Arial" w:hint="eastAsia"/>
          <w:color w:val="000000" w:themeColor="text1"/>
          <w:sz w:val="30"/>
          <w:szCs w:val="30"/>
          <w:u w:val="none"/>
        </w:rPr>
        <w:t>这类交易通常由机构投资者采用，以避免大宗交易导致证券市场价格异常波动</w:t>
      </w:r>
      <w:r w:rsidR="00271F14">
        <w:rPr>
          <w:rStyle w:val="a8"/>
          <w:rFonts w:cs="Arial" w:hint="eastAsia"/>
          <w:color w:val="000000" w:themeColor="text1"/>
          <w:sz w:val="30"/>
          <w:szCs w:val="30"/>
          <w:u w:val="none"/>
        </w:rPr>
        <w:t>）</w:t>
      </w:r>
      <w:r w:rsidRPr="002127DF">
        <w:rPr>
          <w:rStyle w:val="a8"/>
          <w:rFonts w:cs="Arial" w:hint="eastAsia"/>
          <w:color w:val="000000" w:themeColor="text1"/>
          <w:sz w:val="30"/>
          <w:szCs w:val="30"/>
          <w:u w:val="none"/>
        </w:rPr>
        <w:t>；五是</w:t>
      </w:r>
      <w:r w:rsidRPr="002127DF">
        <w:rPr>
          <w:rStyle w:val="a8"/>
          <w:rFonts w:cs="Arial" w:hint="eastAsia"/>
          <w:color w:val="auto"/>
          <w:sz w:val="30"/>
          <w:szCs w:val="30"/>
          <w:u w:val="none"/>
        </w:rPr>
        <w:t>OCO</w:t>
      </w:r>
      <w:r w:rsidRPr="002127DF">
        <w:rPr>
          <w:rStyle w:val="a8"/>
          <w:rFonts w:cs="Arial" w:hint="eastAsia"/>
          <w:color w:val="auto"/>
          <w:sz w:val="30"/>
          <w:szCs w:val="30"/>
          <w:u w:val="none"/>
        </w:rPr>
        <w:t>（</w:t>
      </w:r>
      <w:r w:rsidRPr="002127DF">
        <w:rPr>
          <w:rStyle w:val="aa"/>
          <w:rFonts w:cs="Arial" w:hint="eastAsia"/>
          <w:b w:val="0"/>
          <w:sz w:val="30"/>
          <w:szCs w:val="30"/>
          <w:shd w:val="clear" w:color="auto" w:fill="FFFFFF"/>
        </w:rPr>
        <w:t>One-Cancel-Other</w:t>
      </w:r>
      <w:r w:rsidRPr="002127DF">
        <w:rPr>
          <w:rStyle w:val="a8"/>
          <w:rFonts w:cs="Arial" w:hint="eastAsia"/>
          <w:color w:val="auto"/>
          <w:sz w:val="30"/>
          <w:szCs w:val="30"/>
          <w:u w:val="none"/>
        </w:rPr>
        <w:t>）订单，即</w:t>
      </w:r>
      <w:r w:rsidRPr="002127DF">
        <w:rPr>
          <w:rStyle w:val="a8"/>
          <w:rFonts w:cs="Arial" w:hint="eastAsia"/>
          <w:color w:val="000000" w:themeColor="text1"/>
          <w:sz w:val="30"/>
          <w:szCs w:val="30"/>
          <w:u w:val="none"/>
        </w:rPr>
        <w:t>一组两个订单，其中一个订单的</w:t>
      </w:r>
      <w:r w:rsidRPr="002127DF">
        <w:rPr>
          <w:rStyle w:val="a8"/>
          <w:rFonts w:cs="Arial" w:hint="eastAsia"/>
          <w:color w:val="000000" w:themeColor="text1"/>
          <w:sz w:val="30"/>
          <w:szCs w:val="30"/>
          <w:u w:val="none"/>
        </w:rPr>
        <w:lastRenderedPageBreak/>
        <w:t>匹配将导致另一个订单的取消，这通常被用来降低风险和进入市场。</w:t>
      </w:r>
    </w:p>
    <w:p w:rsidR="00596D15" w:rsidRPr="002127DF" w:rsidRDefault="00596D15" w:rsidP="00596D15">
      <w:pPr>
        <w:spacing w:line="360" w:lineRule="auto"/>
        <w:ind w:firstLineChars="200" w:firstLine="600"/>
        <w:rPr>
          <w:rStyle w:val="a8"/>
          <w:rFonts w:cs="Arial"/>
          <w:color w:val="000000" w:themeColor="text1"/>
          <w:sz w:val="30"/>
          <w:szCs w:val="30"/>
          <w:u w:val="none"/>
        </w:rPr>
      </w:pPr>
      <w:r w:rsidRPr="002127DF">
        <w:rPr>
          <w:rStyle w:val="a8"/>
          <w:rFonts w:cs="Arial" w:hint="eastAsia"/>
          <w:color w:val="000000" w:themeColor="text1"/>
          <w:sz w:val="30"/>
          <w:szCs w:val="30"/>
          <w:u w:val="none"/>
        </w:rPr>
        <w:t>马来西亚证券交易所首席执行官</w:t>
      </w:r>
      <w:proofErr w:type="spellStart"/>
      <w:r w:rsidRPr="002127DF">
        <w:rPr>
          <w:rFonts w:hint="eastAsia"/>
          <w:sz w:val="30"/>
          <w:szCs w:val="30"/>
        </w:rPr>
        <w:t>Datuk</w:t>
      </w:r>
      <w:proofErr w:type="spellEnd"/>
      <w:r w:rsidRPr="002127DF">
        <w:rPr>
          <w:rFonts w:hint="eastAsia"/>
          <w:sz w:val="30"/>
          <w:szCs w:val="30"/>
        </w:rPr>
        <w:t xml:space="preserve"> Seri </w:t>
      </w:r>
      <w:proofErr w:type="spellStart"/>
      <w:r w:rsidRPr="002127DF">
        <w:rPr>
          <w:rFonts w:hint="eastAsia"/>
          <w:sz w:val="30"/>
          <w:szCs w:val="30"/>
        </w:rPr>
        <w:t>Tajuddin</w:t>
      </w:r>
      <w:proofErr w:type="spellEnd"/>
      <w:r w:rsidRPr="002127DF">
        <w:rPr>
          <w:rFonts w:hint="eastAsia"/>
          <w:sz w:val="30"/>
          <w:szCs w:val="30"/>
        </w:rPr>
        <w:t xml:space="preserve"> </w:t>
      </w:r>
      <w:proofErr w:type="spellStart"/>
      <w:r w:rsidRPr="002127DF">
        <w:rPr>
          <w:rFonts w:hint="eastAsia"/>
          <w:sz w:val="30"/>
          <w:szCs w:val="30"/>
        </w:rPr>
        <w:t>Atan</w:t>
      </w:r>
      <w:proofErr w:type="spellEnd"/>
      <w:r w:rsidR="00B77F75" w:rsidRPr="002127DF">
        <w:rPr>
          <w:rStyle w:val="a8"/>
          <w:rFonts w:cs="Arial" w:hint="eastAsia"/>
          <w:color w:val="000000" w:themeColor="text1"/>
          <w:sz w:val="30"/>
          <w:szCs w:val="30"/>
          <w:u w:val="none"/>
        </w:rPr>
        <w:t>表示，</w:t>
      </w:r>
      <w:r w:rsidR="0073767A" w:rsidRPr="002127DF">
        <w:rPr>
          <w:rStyle w:val="a8"/>
          <w:rFonts w:cs="Arial" w:hint="eastAsia"/>
          <w:color w:val="000000" w:themeColor="text1"/>
          <w:sz w:val="30"/>
          <w:szCs w:val="30"/>
          <w:u w:val="none"/>
        </w:rPr>
        <w:t>以上</w:t>
      </w:r>
      <w:r w:rsidRPr="002127DF">
        <w:rPr>
          <w:rStyle w:val="a8"/>
          <w:rFonts w:cs="Arial" w:hint="eastAsia"/>
          <w:color w:val="000000" w:themeColor="text1"/>
          <w:sz w:val="30"/>
          <w:szCs w:val="30"/>
          <w:u w:val="none"/>
        </w:rPr>
        <w:t>交易功能的引入，预计将有助于投资者优化交易策略，促进股票市场更具盈利能力和</w:t>
      </w:r>
      <w:proofErr w:type="gramStart"/>
      <w:r w:rsidRPr="002127DF">
        <w:rPr>
          <w:rStyle w:val="a8"/>
          <w:rFonts w:cs="Arial" w:hint="eastAsia"/>
          <w:color w:val="000000" w:themeColor="text1"/>
          <w:sz w:val="30"/>
          <w:szCs w:val="30"/>
          <w:u w:val="none"/>
        </w:rPr>
        <w:t>可</w:t>
      </w:r>
      <w:proofErr w:type="gramEnd"/>
      <w:r w:rsidRPr="002127DF">
        <w:rPr>
          <w:rStyle w:val="a8"/>
          <w:rFonts w:cs="Arial" w:hint="eastAsia"/>
          <w:color w:val="000000" w:themeColor="text1"/>
          <w:sz w:val="30"/>
          <w:szCs w:val="30"/>
          <w:u w:val="none"/>
        </w:rPr>
        <w:t>持续性。交易所将继续为投资者提供更多的选择和更有效的手段来实现</w:t>
      </w:r>
      <w:r w:rsidR="0073767A" w:rsidRPr="002127DF">
        <w:rPr>
          <w:rStyle w:val="a8"/>
          <w:rFonts w:cs="Arial" w:hint="eastAsia"/>
          <w:color w:val="000000" w:themeColor="text1"/>
          <w:sz w:val="30"/>
          <w:szCs w:val="30"/>
          <w:u w:val="none"/>
        </w:rPr>
        <w:t>投资者的交易理念，使他们能够更好地管理风险并在市场上抓住机遇。</w:t>
      </w:r>
    </w:p>
    <w:p w:rsidR="00627EB3" w:rsidRDefault="00596D15" w:rsidP="00FC0BC5">
      <w:pPr>
        <w:spacing w:line="360" w:lineRule="auto"/>
        <w:ind w:firstLineChars="200" w:firstLine="600"/>
        <w:rPr>
          <w:rStyle w:val="a8"/>
          <w:rFonts w:cs="Arial"/>
          <w:color w:val="000000" w:themeColor="text1"/>
          <w:sz w:val="30"/>
          <w:szCs w:val="30"/>
          <w:u w:val="none"/>
        </w:rPr>
      </w:pPr>
      <w:r w:rsidRPr="002127DF">
        <w:rPr>
          <w:rStyle w:val="a8"/>
          <w:rFonts w:cs="Arial" w:hint="eastAsia"/>
          <w:color w:val="000000" w:themeColor="text1"/>
          <w:sz w:val="30"/>
          <w:szCs w:val="30"/>
          <w:u w:val="none"/>
        </w:rPr>
        <w:t>网页链接：</w:t>
      </w:r>
    </w:p>
    <w:p w:rsidR="00596D15" w:rsidRPr="002127DF" w:rsidRDefault="009D05E8" w:rsidP="00627EB3">
      <w:pPr>
        <w:spacing w:line="360" w:lineRule="auto"/>
        <w:ind w:firstLineChars="200" w:firstLine="480"/>
        <w:rPr>
          <w:rFonts w:cs="Arial"/>
          <w:i/>
          <w:color w:val="BF8F00" w:themeColor="accent4" w:themeShade="BF"/>
          <w:sz w:val="30"/>
          <w:szCs w:val="30"/>
          <w:u w:val="single"/>
        </w:rPr>
      </w:pPr>
      <w:hyperlink r:id="rId21" w:history="1">
        <w:r w:rsidR="00596D15" w:rsidRPr="002127DF">
          <w:rPr>
            <w:rStyle w:val="a8"/>
            <w:rFonts w:cs="Arial" w:hint="eastAsia"/>
            <w:sz w:val="30"/>
            <w:szCs w:val="30"/>
          </w:rPr>
          <w:t>http://www.bursamalaysia.com/corporate/media-centre/media-releases/5949</w:t>
        </w:r>
      </w:hyperlink>
    </w:p>
    <w:p w:rsidR="00596D15" w:rsidRPr="002127DF" w:rsidRDefault="00596D15" w:rsidP="00596D15">
      <w:pPr>
        <w:rPr>
          <w:sz w:val="30"/>
          <w:szCs w:val="30"/>
        </w:rPr>
      </w:pPr>
      <w:r w:rsidRPr="002127DF">
        <w:rPr>
          <w:sz w:val="30"/>
          <w:szCs w:val="30"/>
        </w:rPr>
        <w:br w:type="page"/>
      </w:r>
    </w:p>
    <w:p w:rsidR="00596D15" w:rsidRPr="002127DF" w:rsidRDefault="009D05E8" w:rsidP="00596D15">
      <w:pPr>
        <w:spacing w:line="360" w:lineRule="auto"/>
        <w:rPr>
          <w:sz w:val="30"/>
          <w:szCs w:val="30"/>
        </w:rPr>
      </w:pPr>
      <w:r>
        <w:rPr>
          <w:noProof/>
          <w:sz w:val="30"/>
          <w:szCs w:val="30"/>
        </w:rPr>
        <w:lastRenderedPageBreak/>
        <w:pict>
          <v:rect id="_x0000_s1042" style="position:absolute;margin-left:5.65pt;margin-top:14.05pt;width:442.45pt;height:39.5pt;z-index:251667456" o:gfxdata="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B8Oy+W1AAAAAcBAAAPAAAAAAAAAAEAIAAAACIAAABkcnMv&#10;ZG93bnJldi54bWxQSwECFAAUAAAACACHTuJAXZhg1gcCAABbBAAADgAAAAAAAAABACAAAAAjAQAA&#10;ZHJzL2Uyb0RvYy54bWxQSwUGAAAAAAYABgBZAQAAnAUAAAAA&#10;" fillcolor="#f8fafc" strokecolor="#f8fafc">
            <v:textbox>
              <w:txbxContent>
                <w:p w:rsidR="003961A3" w:rsidRDefault="003961A3" w:rsidP="003961A3">
                  <w:pPr>
                    <w:spacing w:line="360" w:lineRule="auto"/>
                    <w:rPr>
                      <w:rFonts w:ascii="Arial Narrow" w:eastAsia="宋体" w:hAnsi="Arial Narrow" w:cs="Mongolian Baiti"/>
                      <w:b/>
                      <w:color w:val="1F3864" w:themeColor="accent1" w:themeShade="80"/>
                      <w:sz w:val="28"/>
                      <w:szCs w:val="28"/>
                    </w:rPr>
                  </w:pPr>
                  <w:r>
                    <w:rPr>
                      <w:rFonts w:ascii="华文新魏" w:eastAsia="华文新魏" w:hAnsi="黑体" w:hint="eastAsia"/>
                      <w:b/>
                      <w:color w:val="1F3864" w:themeColor="accent1" w:themeShade="80"/>
                      <w:sz w:val="36"/>
                      <w:szCs w:val="36"/>
                    </w:rPr>
                    <w:t xml:space="preserve">投资者关系管理 </w:t>
                  </w:r>
                  <w:r>
                    <w:rPr>
                      <w:rFonts w:ascii="Arial Narrow" w:hAnsi="Arial Narrow" w:cs="Mongolian Baiti"/>
                      <w:b/>
                      <w:color w:val="1F3864" w:themeColor="accent1" w:themeShade="80"/>
                      <w:sz w:val="28"/>
                      <w:szCs w:val="28"/>
                    </w:rPr>
                    <w:t xml:space="preserve">INVESTOR </w:t>
                  </w:r>
                  <w:r>
                    <w:rPr>
                      <w:rFonts w:ascii="Arial Narrow" w:hAnsi="Arial Narrow" w:cs="Mongolian Baiti" w:hint="eastAsia"/>
                      <w:b/>
                      <w:color w:val="1F3864" w:themeColor="accent1" w:themeShade="80"/>
                      <w:sz w:val="28"/>
                      <w:szCs w:val="28"/>
                    </w:rPr>
                    <w:t>RELATIONS MANAG</w:t>
                  </w:r>
                  <w:r w:rsidR="00271F14">
                    <w:rPr>
                      <w:rFonts w:ascii="Arial Narrow" w:hAnsi="Arial Narrow" w:cs="Mongolian Baiti" w:hint="eastAsia"/>
                      <w:b/>
                      <w:color w:val="1F3864" w:themeColor="accent1" w:themeShade="80"/>
                      <w:sz w:val="28"/>
                      <w:szCs w:val="28"/>
                    </w:rPr>
                    <w:t>E</w:t>
                  </w:r>
                  <w:r>
                    <w:rPr>
                      <w:rFonts w:ascii="Arial Narrow" w:hAnsi="Arial Narrow" w:cs="Mongolian Baiti" w:hint="eastAsia"/>
                      <w:b/>
                      <w:color w:val="1F3864" w:themeColor="accent1" w:themeShade="80"/>
                      <w:sz w:val="28"/>
                      <w:szCs w:val="28"/>
                    </w:rPr>
                    <w:t>MENT</w:t>
                  </w:r>
                </w:p>
                <w:p w:rsidR="003961A3" w:rsidRDefault="003961A3" w:rsidP="003961A3"/>
              </w:txbxContent>
            </v:textbox>
          </v:rect>
        </w:pict>
      </w:r>
    </w:p>
    <w:p w:rsidR="00596D15" w:rsidRPr="002127DF" w:rsidRDefault="00596D15" w:rsidP="00596D15">
      <w:pPr>
        <w:spacing w:line="360" w:lineRule="auto"/>
        <w:contextualSpacing/>
        <w:rPr>
          <w:rFonts w:eastAsiaTheme="majorEastAsia"/>
          <w:b/>
          <w:sz w:val="30"/>
          <w:szCs w:val="30"/>
        </w:rPr>
      </w:pPr>
    </w:p>
    <w:p w:rsidR="00596D15" w:rsidRPr="002127DF" w:rsidRDefault="00485222" w:rsidP="00271F14">
      <w:pPr>
        <w:spacing w:beforeLines="100" w:afterLines="100" w:line="360" w:lineRule="auto"/>
        <w:contextualSpacing/>
        <w:outlineLvl w:val="1"/>
        <w:rPr>
          <w:rFonts w:eastAsiaTheme="majorEastAsia"/>
          <w:b/>
          <w:sz w:val="30"/>
          <w:szCs w:val="30"/>
        </w:rPr>
      </w:pPr>
      <w:r w:rsidRPr="002127DF">
        <w:rPr>
          <w:rFonts w:eastAsiaTheme="majorEastAsia" w:hint="eastAsia"/>
          <w:b/>
          <w:sz w:val="30"/>
          <w:szCs w:val="30"/>
        </w:rPr>
        <w:t>NIRI</w:t>
      </w:r>
      <w:r w:rsidR="00596D15" w:rsidRPr="002127DF">
        <w:rPr>
          <w:rFonts w:eastAsiaTheme="majorEastAsia" w:hAnsiTheme="majorEastAsia" w:hint="eastAsia"/>
          <w:b/>
          <w:sz w:val="30"/>
          <w:szCs w:val="30"/>
        </w:rPr>
        <w:t>：</w:t>
      </w:r>
      <w:r w:rsidR="00596D15" w:rsidRPr="002127DF">
        <w:rPr>
          <w:rFonts w:eastAsiaTheme="majorEastAsia" w:hAnsiTheme="majorEastAsia"/>
          <w:b/>
          <w:sz w:val="30"/>
          <w:szCs w:val="30"/>
        </w:rPr>
        <w:t>发布新的</w:t>
      </w:r>
      <w:r w:rsidR="00596D15" w:rsidRPr="002127DF">
        <w:rPr>
          <w:rFonts w:eastAsiaTheme="majorEastAsia"/>
          <w:b/>
          <w:sz w:val="30"/>
          <w:szCs w:val="30"/>
        </w:rPr>
        <w:t>ESG</w:t>
      </w:r>
      <w:r w:rsidR="00596D15" w:rsidRPr="002127DF">
        <w:rPr>
          <w:rFonts w:eastAsiaTheme="majorEastAsia" w:hAnsiTheme="majorEastAsia"/>
          <w:b/>
          <w:sz w:val="30"/>
          <w:szCs w:val="30"/>
        </w:rPr>
        <w:t>政策声明</w:t>
      </w:r>
    </w:p>
    <w:p w:rsidR="0073767A" w:rsidRPr="002127DF" w:rsidRDefault="00596D15" w:rsidP="00596D15">
      <w:pPr>
        <w:spacing w:line="360" w:lineRule="auto"/>
        <w:ind w:firstLineChars="200" w:firstLine="602"/>
        <w:contextualSpacing/>
        <w:rPr>
          <w:rStyle w:val="transsent"/>
          <w:sz w:val="30"/>
          <w:szCs w:val="30"/>
        </w:rPr>
      </w:pPr>
      <w:r w:rsidRPr="002127DF">
        <w:rPr>
          <w:rStyle w:val="aa"/>
          <w:rFonts w:hint="eastAsia"/>
          <w:sz w:val="30"/>
          <w:szCs w:val="30"/>
        </w:rPr>
        <w:t>2</w:t>
      </w:r>
      <w:r w:rsidRPr="002127DF">
        <w:rPr>
          <w:rStyle w:val="transsent"/>
          <w:rFonts w:cs="Arial" w:hint="eastAsia"/>
          <w:bCs/>
          <w:sz w:val="30"/>
          <w:szCs w:val="30"/>
        </w:rPr>
        <w:t>019</w:t>
      </w:r>
      <w:r w:rsidRPr="002127DF">
        <w:rPr>
          <w:rStyle w:val="transsent"/>
          <w:rFonts w:cs="Arial" w:hint="eastAsia"/>
          <w:bCs/>
          <w:sz w:val="30"/>
          <w:szCs w:val="30"/>
        </w:rPr>
        <w:t>年</w:t>
      </w:r>
      <w:r w:rsidRPr="002127DF">
        <w:rPr>
          <w:rStyle w:val="transsent"/>
          <w:rFonts w:cs="Arial" w:hint="eastAsia"/>
          <w:bCs/>
          <w:sz w:val="30"/>
          <w:szCs w:val="30"/>
        </w:rPr>
        <w:t>1</w:t>
      </w:r>
      <w:r w:rsidRPr="002127DF">
        <w:rPr>
          <w:rStyle w:val="transsent"/>
          <w:rFonts w:cs="Arial" w:hint="eastAsia"/>
          <w:bCs/>
          <w:sz w:val="30"/>
          <w:szCs w:val="30"/>
        </w:rPr>
        <w:t>月</w:t>
      </w:r>
      <w:r w:rsidRPr="002127DF">
        <w:rPr>
          <w:rStyle w:val="transsent"/>
          <w:rFonts w:cs="Arial" w:hint="eastAsia"/>
          <w:bCs/>
          <w:sz w:val="30"/>
          <w:szCs w:val="30"/>
        </w:rPr>
        <w:t>30</w:t>
      </w:r>
      <w:r w:rsidRPr="002127DF">
        <w:rPr>
          <w:rStyle w:val="transsent"/>
          <w:rFonts w:cs="Arial" w:hint="eastAsia"/>
          <w:bCs/>
          <w:sz w:val="30"/>
          <w:szCs w:val="30"/>
        </w:rPr>
        <w:t>日，</w:t>
      </w:r>
      <w:r w:rsidRPr="002127DF">
        <w:rPr>
          <w:rStyle w:val="transsent"/>
          <w:rFonts w:hint="eastAsia"/>
          <w:sz w:val="30"/>
          <w:szCs w:val="30"/>
        </w:rPr>
        <w:t>美国国家投资者关系协会</w:t>
      </w:r>
      <w:r w:rsidRPr="002127DF">
        <w:rPr>
          <w:rStyle w:val="transsent"/>
          <w:sz w:val="30"/>
          <w:szCs w:val="30"/>
        </w:rPr>
        <w:t>(NIRI)</w:t>
      </w:r>
      <w:r w:rsidRPr="002127DF">
        <w:rPr>
          <w:rStyle w:val="transsent"/>
          <w:rFonts w:hint="eastAsia"/>
          <w:sz w:val="30"/>
          <w:szCs w:val="30"/>
        </w:rPr>
        <w:t>发布了一份新的政策声明，阐明了</w:t>
      </w:r>
      <w:r w:rsidRPr="002127DF">
        <w:rPr>
          <w:rStyle w:val="transsent"/>
          <w:rFonts w:hint="eastAsia"/>
          <w:sz w:val="30"/>
          <w:szCs w:val="30"/>
        </w:rPr>
        <w:t>NIRI</w:t>
      </w:r>
      <w:r w:rsidRPr="002127DF">
        <w:rPr>
          <w:rStyle w:val="transsent"/>
          <w:rFonts w:hint="eastAsia"/>
          <w:sz w:val="30"/>
          <w:szCs w:val="30"/>
        </w:rPr>
        <w:t>对环境、社会和治理（</w:t>
      </w:r>
      <w:r w:rsidRPr="002127DF">
        <w:rPr>
          <w:rStyle w:val="transsent"/>
          <w:rFonts w:hint="eastAsia"/>
          <w:sz w:val="30"/>
          <w:szCs w:val="30"/>
        </w:rPr>
        <w:t>ESG</w:t>
      </w:r>
      <w:r w:rsidRPr="002127DF">
        <w:rPr>
          <w:rStyle w:val="transsent"/>
          <w:rFonts w:hint="eastAsia"/>
          <w:sz w:val="30"/>
          <w:szCs w:val="30"/>
        </w:rPr>
        <w:t>）问题的非财务披露的观点，也就是众所周知的“企业可持续性”</w:t>
      </w:r>
      <w:r w:rsidR="00271F14">
        <w:rPr>
          <w:rStyle w:val="transsent"/>
          <w:rFonts w:hint="eastAsia"/>
          <w:sz w:val="30"/>
          <w:szCs w:val="30"/>
        </w:rPr>
        <w:t>。</w:t>
      </w:r>
    </w:p>
    <w:p w:rsidR="00596D15" w:rsidRPr="002127DF" w:rsidRDefault="00596D15" w:rsidP="0073767A">
      <w:pPr>
        <w:spacing w:line="360" w:lineRule="auto"/>
        <w:ind w:firstLineChars="200" w:firstLine="600"/>
        <w:contextualSpacing/>
        <w:rPr>
          <w:rStyle w:val="transsent"/>
          <w:rFonts w:cs="Arial"/>
          <w:sz w:val="30"/>
          <w:szCs w:val="30"/>
        </w:rPr>
      </w:pPr>
      <w:r w:rsidRPr="002127DF">
        <w:rPr>
          <w:rStyle w:val="transsent"/>
          <w:sz w:val="30"/>
          <w:szCs w:val="30"/>
        </w:rPr>
        <w:t>NIRI</w:t>
      </w:r>
      <w:r w:rsidRPr="002127DF">
        <w:rPr>
          <w:rStyle w:val="transsent"/>
          <w:rFonts w:hint="eastAsia"/>
          <w:sz w:val="30"/>
          <w:szCs w:val="30"/>
        </w:rPr>
        <w:t>认识到，机构投资者和中小投资者越来越多地将</w:t>
      </w:r>
      <w:r w:rsidRPr="002127DF">
        <w:rPr>
          <w:rStyle w:val="transsent"/>
          <w:rFonts w:hint="eastAsia"/>
          <w:sz w:val="30"/>
          <w:szCs w:val="30"/>
        </w:rPr>
        <w:t>ESG</w:t>
      </w:r>
      <w:r w:rsidRPr="002127DF">
        <w:rPr>
          <w:rStyle w:val="transsent"/>
          <w:rFonts w:hint="eastAsia"/>
          <w:sz w:val="30"/>
          <w:szCs w:val="30"/>
        </w:rPr>
        <w:t>信息融入投资过程，并鼓励投资者关系</w:t>
      </w:r>
      <w:r w:rsidR="00271F14">
        <w:rPr>
          <w:rStyle w:val="transsent"/>
          <w:rFonts w:hint="eastAsia"/>
          <w:sz w:val="30"/>
          <w:szCs w:val="30"/>
        </w:rPr>
        <w:t>（</w:t>
      </w:r>
      <w:r w:rsidR="00271F14">
        <w:rPr>
          <w:rStyle w:val="transsent"/>
          <w:rFonts w:hint="eastAsia"/>
          <w:sz w:val="30"/>
          <w:szCs w:val="30"/>
        </w:rPr>
        <w:t>IR</w:t>
      </w:r>
      <w:r w:rsidR="00271F14">
        <w:rPr>
          <w:rStyle w:val="transsent"/>
          <w:rFonts w:hint="eastAsia"/>
          <w:sz w:val="30"/>
          <w:szCs w:val="30"/>
        </w:rPr>
        <w:t>）</w:t>
      </w:r>
      <w:r w:rsidRPr="002127DF">
        <w:rPr>
          <w:rStyle w:val="transsent"/>
          <w:rFonts w:hint="eastAsia"/>
          <w:sz w:val="30"/>
          <w:szCs w:val="30"/>
        </w:rPr>
        <w:t>专业人士更加了解投资者所寻求的信息和数据内容。</w:t>
      </w:r>
    </w:p>
    <w:p w:rsidR="00596D15" w:rsidRPr="002127DF" w:rsidRDefault="00596D15" w:rsidP="00596D15">
      <w:pPr>
        <w:spacing w:line="360" w:lineRule="auto"/>
        <w:ind w:firstLineChars="200" w:firstLine="600"/>
        <w:contextualSpacing/>
        <w:rPr>
          <w:rStyle w:val="transsent"/>
          <w:rFonts w:cs="Arial"/>
        </w:rPr>
      </w:pPr>
      <w:r w:rsidRPr="002127DF">
        <w:rPr>
          <w:rStyle w:val="transsent"/>
          <w:rFonts w:cs="Arial"/>
          <w:sz w:val="30"/>
          <w:szCs w:val="30"/>
        </w:rPr>
        <w:t>NIRI</w:t>
      </w:r>
      <w:r w:rsidRPr="002127DF">
        <w:rPr>
          <w:rStyle w:val="transsent"/>
          <w:rFonts w:cs="Arial" w:hint="eastAsia"/>
          <w:sz w:val="30"/>
          <w:szCs w:val="30"/>
        </w:rPr>
        <w:t>总裁兼首席执行官</w:t>
      </w:r>
      <w:r w:rsidRPr="002127DF">
        <w:rPr>
          <w:rStyle w:val="transsent"/>
          <w:rFonts w:cs="Arial" w:hint="eastAsia"/>
          <w:sz w:val="30"/>
          <w:szCs w:val="30"/>
        </w:rPr>
        <w:t xml:space="preserve">Gary A. </w:t>
      </w:r>
      <w:proofErr w:type="spellStart"/>
      <w:r w:rsidRPr="002127DF">
        <w:rPr>
          <w:rStyle w:val="transsent"/>
          <w:rFonts w:cs="Arial" w:hint="eastAsia"/>
          <w:sz w:val="30"/>
          <w:szCs w:val="30"/>
        </w:rPr>
        <w:t>LaBranche</w:t>
      </w:r>
      <w:proofErr w:type="spellEnd"/>
      <w:r w:rsidR="0073767A" w:rsidRPr="002127DF">
        <w:rPr>
          <w:rStyle w:val="transsent"/>
          <w:rFonts w:cs="Arial" w:hint="eastAsia"/>
          <w:sz w:val="30"/>
          <w:szCs w:val="30"/>
        </w:rPr>
        <w:t>表示，</w:t>
      </w:r>
      <w:r w:rsidR="00271F14">
        <w:rPr>
          <w:rStyle w:val="transsent"/>
          <w:rFonts w:cs="Arial" w:hint="eastAsia"/>
          <w:sz w:val="30"/>
          <w:szCs w:val="30"/>
        </w:rPr>
        <w:t>IR</w:t>
      </w:r>
      <w:r w:rsidRPr="002127DF">
        <w:rPr>
          <w:rStyle w:val="transsent"/>
          <w:rFonts w:cs="Arial" w:hint="eastAsia"/>
          <w:sz w:val="30"/>
          <w:szCs w:val="30"/>
        </w:rPr>
        <w:t>专家和上市公司不能再忽视对投资者越来越重要的各种</w:t>
      </w:r>
      <w:r w:rsidRPr="002127DF">
        <w:rPr>
          <w:rStyle w:val="transsent"/>
          <w:rFonts w:cs="Arial" w:hint="eastAsia"/>
          <w:sz w:val="30"/>
          <w:szCs w:val="30"/>
        </w:rPr>
        <w:t>ESG</w:t>
      </w:r>
      <w:r w:rsidRPr="002127DF">
        <w:rPr>
          <w:rStyle w:val="transsent"/>
          <w:rFonts w:cs="Arial" w:hint="eastAsia"/>
          <w:sz w:val="30"/>
          <w:szCs w:val="30"/>
        </w:rPr>
        <w:t>问题。</w:t>
      </w:r>
      <w:r w:rsidRPr="002127DF">
        <w:rPr>
          <w:rStyle w:val="transsent"/>
          <w:rFonts w:cs="Arial" w:hint="eastAsia"/>
          <w:sz w:val="30"/>
          <w:szCs w:val="30"/>
        </w:rPr>
        <w:t>NIRI</w:t>
      </w:r>
      <w:r w:rsidRPr="002127DF">
        <w:rPr>
          <w:rStyle w:val="transsent"/>
          <w:rFonts w:cs="Arial" w:hint="eastAsia"/>
          <w:sz w:val="30"/>
          <w:szCs w:val="30"/>
        </w:rPr>
        <w:t>强烈鼓励</w:t>
      </w:r>
      <w:r w:rsidRPr="002127DF">
        <w:rPr>
          <w:rStyle w:val="transsent"/>
          <w:rFonts w:cs="Arial" w:hint="eastAsia"/>
          <w:sz w:val="30"/>
          <w:szCs w:val="30"/>
        </w:rPr>
        <w:t>IR</w:t>
      </w:r>
      <w:r w:rsidRPr="002127DF">
        <w:rPr>
          <w:rStyle w:val="transsent"/>
          <w:rFonts w:cs="Arial" w:hint="eastAsia"/>
          <w:sz w:val="30"/>
          <w:szCs w:val="30"/>
        </w:rPr>
        <w:t>社区增强对此问题的认识，并</w:t>
      </w:r>
      <w:r w:rsidR="00BC7482">
        <w:rPr>
          <w:rStyle w:val="transsent"/>
          <w:rFonts w:cs="Arial" w:hint="eastAsia"/>
          <w:sz w:val="30"/>
          <w:szCs w:val="30"/>
        </w:rPr>
        <w:t>在</w:t>
      </w:r>
      <w:r w:rsidRPr="002127DF">
        <w:rPr>
          <w:rStyle w:val="transsent"/>
          <w:rFonts w:cs="Arial" w:hint="eastAsia"/>
          <w:sz w:val="30"/>
          <w:szCs w:val="30"/>
        </w:rPr>
        <w:t>公司的</w:t>
      </w:r>
      <w:r w:rsidRPr="002127DF">
        <w:rPr>
          <w:rStyle w:val="transsent"/>
          <w:rFonts w:cs="Arial" w:hint="eastAsia"/>
          <w:sz w:val="30"/>
          <w:szCs w:val="30"/>
        </w:rPr>
        <w:t>ESG</w:t>
      </w:r>
      <w:r w:rsidRPr="002127DF">
        <w:rPr>
          <w:rStyle w:val="transsent"/>
          <w:rFonts w:cs="Arial" w:hint="eastAsia"/>
          <w:sz w:val="30"/>
          <w:szCs w:val="30"/>
        </w:rPr>
        <w:t>披露中扮演更重要的角色。</w:t>
      </w:r>
    </w:p>
    <w:p w:rsidR="00596D15" w:rsidRPr="002127DF" w:rsidRDefault="00596D15" w:rsidP="00596D15">
      <w:pPr>
        <w:spacing w:line="360" w:lineRule="auto"/>
        <w:ind w:firstLineChars="200" w:firstLine="600"/>
        <w:contextualSpacing/>
        <w:rPr>
          <w:rStyle w:val="transsent"/>
          <w:rFonts w:cs="Arial"/>
        </w:rPr>
      </w:pPr>
      <w:r w:rsidRPr="002127DF">
        <w:rPr>
          <w:rStyle w:val="transsent"/>
          <w:rFonts w:cs="Arial" w:hint="eastAsia"/>
          <w:sz w:val="30"/>
          <w:szCs w:val="30"/>
        </w:rPr>
        <w:t>该政策声明由</w:t>
      </w:r>
      <w:r w:rsidRPr="002127DF">
        <w:rPr>
          <w:rStyle w:val="transsent"/>
          <w:rFonts w:cs="Arial" w:hint="eastAsia"/>
          <w:sz w:val="30"/>
          <w:szCs w:val="30"/>
        </w:rPr>
        <w:t>ESG</w:t>
      </w:r>
      <w:r w:rsidRPr="002127DF">
        <w:rPr>
          <w:rStyle w:val="transsent"/>
          <w:rFonts w:cs="Arial" w:hint="eastAsia"/>
          <w:sz w:val="30"/>
          <w:szCs w:val="30"/>
        </w:rPr>
        <w:t>工作组编制，专责小组在草拟本声明时，兼顾了</w:t>
      </w:r>
      <w:r w:rsidRPr="002127DF">
        <w:rPr>
          <w:rStyle w:val="transsent"/>
          <w:rFonts w:cs="Arial" w:hint="eastAsia"/>
          <w:sz w:val="30"/>
          <w:szCs w:val="30"/>
        </w:rPr>
        <w:t>IR</w:t>
      </w:r>
      <w:r w:rsidRPr="002127DF">
        <w:rPr>
          <w:rStyle w:val="transsent"/>
          <w:rFonts w:cs="Arial" w:hint="eastAsia"/>
          <w:sz w:val="30"/>
          <w:szCs w:val="30"/>
        </w:rPr>
        <w:t>专业人士、投资者团体、发行人倡议者、</w:t>
      </w:r>
      <w:r w:rsidRPr="002127DF">
        <w:rPr>
          <w:rStyle w:val="transsent"/>
          <w:rFonts w:cs="Arial" w:hint="eastAsia"/>
          <w:sz w:val="30"/>
          <w:szCs w:val="30"/>
        </w:rPr>
        <w:t>ESG</w:t>
      </w:r>
      <w:r w:rsidRPr="002127DF">
        <w:rPr>
          <w:rStyle w:val="transsent"/>
          <w:rFonts w:cs="Arial" w:hint="eastAsia"/>
          <w:sz w:val="30"/>
          <w:szCs w:val="30"/>
        </w:rPr>
        <w:t>顾问、</w:t>
      </w:r>
      <w:r w:rsidRPr="002127DF">
        <w:rPr>
          <w:rStyle w:val="transsent"/>
          <w:rFonts w:cs="Arial" w:hint="eastAsia"/>
          <w:sz w:val="30"/>
          <w:szCs w:val="30"/>
        </w:rPr>
        <w:t>IR</w:t>
      </w:r>
      <w:r w:rsidRPr="002127DF">
        <w:rPr>
          <w:rStyle w:val="transsent"/>
          <w:rFonts w:cs="Arial" w:hint="eastAsia"/>
          <w:sz w:val="30"/>
          <w:szCs w:val="30"/>
        </w:rPr>
        <w:t>服务供应商及其他利益相关人的意见。</w:t>
      </w:r>
    </w:p>
    <w:p w:rsidR="00627EB3" w:rsidRDefault="00596D15" w:rsidP="00627EB3">
      <w:pPr>
        <w:spacing w:line="360" w:lineRule="auto"/>
        <w:ind w:firstLineChars="200" w:firstLine="600"/>
        <w:rPr>
          <w:rStyle w:val="a8"/>
          <w:rFonts w:cs="Arial"/>
          <w:color w:val="auto"/>
          <w:sz w:val="30"/>
          <w:szCs w:val="30"/>
          <w:u w:val="none"/>
        </w:rPr>
      </w:pPr>
      <w:r w:rsidRPr="002127DF">
        <w:rPr>
          <w:rStyle w:val="a8"/>
          <w:rFonts w:cs="Arial" w:hint="eastAsia"/>
          <w:color w:val="auto"/>
          <w:sz w:val="30"/>
          <w:szCs w:val="30"/>
          <w:u w:val="none"/>
        </w:rPr>
        <w:t>网页链接：</w:t>
      </w:r>
    </w:p>
    <w:p w:rsidR="00596D15" w:rsidRPr="00627EB3" w:rsidRDefault="009D05E8" w:rsidP="00627EB3">
      <w:pPr>
        <w:spacing w:line="360" w:lineRule="auto"/>
        <w:ind w:firstLineChars="200" w:firstLine="480"/>
        <w:rPr>
          <w:rFonts w:cs="Arial"/>
          <w:sz w:val="30"/>
          <w:szCs w:val="30"/>
        </w:rPr>
      </w:pPr>
      <w:hyperlink r:id="rId22" w:history="1">
        <w:r w:rsidR="00596D15" w:rsidRPr="002127DF">
          <w:rPr>
            <w:rStyle w:val="a8"/>
            <w:sz w:val="30"/>
            <w:szCs w:val="30"/>
          </w:rPr>
          <w:t>https://www.niri.org/about-niri/news-media/press-releases/niri-releases-new-esg-policy-statement</w:t>
        </w:r>
      </w:hyperlink>
    </w:p>
    <w:p w:rsidR="00596D15" w:rsidRPr="002127DF" w:rsidRDefault="00596D15" w:rsidP="00596D15">
      <w:pPr>
        <w:spacing w:line="360" w:lineRule="auto"/>
        <w:ind w:right="78"/>
        <w:rPr>
          <w:b/>
          <w:sz w:val="30"/>
          <w:szCs w:val="30"/>
        </w:rPr>
      </w:pPr>
    </w:p>
    <w:p w:rsidR="00596D15" w:rsidRPr="002127DF" w:rsidRDefault="00485222" w:rsidP="00271F14">
      <w:pPr>
        <w:spacing w:beforeLines="100" w:afterLines="100"/>
        <w:outlineLvl w:val="1"/>
        <w:rPr>
          <w:rFonts w:eastAsiaTheme="majorEastAsia"/>
          <w:b/>
          <w:sz w:val="30"/>
          <w:szCs w:val="30"/>
        </w:rPr>
      </w:pPr>
      <w:r w:rsidRPr="002127DF">
        <w:rPr>
          <w:rFonts w:eastAsiaTheme="majorEastAsia" w:hint="eastAsia"/>
          <w:b/>
          <w:sz w:val="30"/>
          <w:szCs w:val="30"/>
        </w:rPr>
        <w:t>NIRI</w:t>
      </w:r>
      <w:r w:rsidR="00596D15" w:rsidRPr="002127DF">
        <w:rPr>
          <w:rFonts w:eastAsiaTheme="majorEastAsia" w:hAnsiTheme="majorEastAsia" w:hint="eastAsia"/>
          <w:b/>
          <w:sz w:val="30"/>
          <w:szCs w:val="30"/>
        </w:rPr>
        <w:t>：</w:t>
      </w:r>
      <w:r w:rsidR="006E783B">
        <w:rPr>
          <w:rFonts w:eastAsiaTheme="majorEastAsia" w:hAnsiTheme="majorEastAsia"/>
          <w:b/>
          <w:sz w:val="30"/>
          <w:szCs w:val="30"/>
        </w:rPr>
        <w:t>鼓励</w:t>
      </w:r>
      <w:r w:rsidR="00596D15" w:rsidRPr="002127DF">
        <w:rPr>
          <w:rFonts w:eastAsiaTheme="majorEastAsia" w:hAnsiTheme="majorEastAsia"/>
          <w:b/>
          <w:sz w:val="30"/>
          <w:szCs w:val="30"/>
        </w:rPr>
        <w:t>公司</w:t>
      </w:r>
      <w:r w:rsidR="006E783B">
        <w:rPr>
          <w:rFonts w:eastAsiaTheme="majorEastAsia" w:hAnsiTheme="majorEastAsia" w:hint="eastAsia"/>
          <w:b/>
          <w:sz w:val="30"/>
          <w:szCs w:val="30"/>
        </w:rPr>
        <w:t>披露</w:t>
      </w:r>
      <w:r w:rsidR="00596D15" w:rsidRPr="002127DF">
        <w:rPr>
          <w:rFonts w:eastAsiaTheme="majorEastAsia" w:hAnsiTheme="majorEastAsia"/>
          <w:b/>
          <w:sz w:val="30"/>
          <w:szCs w:val="30"/>
        </w:rPr>
        <w:t>特定的</w:t>
      </w:r>
      <w:r w:rsidR="00596D15" w:rsidRPr="002127DF">
        <w:rPr>
          <w:rFonts w:eastAsiaTheme="majorEastAsia"/>
          <w:b/>
          <w:sz w:val="30"/>
          <w:szCs w:val="30"/>
        </w:rPr>
        <w:t>ESG</w:t>
      </w:r>
      <w:r w:rsidR="00596D15" w:rsidRPr="002127DF">
        <w:rPr>
          <w:rFonts w:eastAsiaTheme="majorEastAsia" w:hAnsiTheme="majorEastAsia"/>
          <w:b/>
          <w:sz w:val="30"/>
          <w:szCs w:val="30"/>
        </w:rPr>
        <w:t>指标</w:t>
      </w:r>
    </w:p>
    <w:p w:rsidR="00596D15" w:rsidRPr="002127DF" w:rsidRDefault="00596D15" w:rsidP="00596D15">
      <w:pPr>
        <w:spacing w:line="360" w:lineRule="auto"/>
        <w:ind w:firstLineChars="200" w:firstLine="600"/>
        <w:contextualSpacing/>
        <w:rPr>
          <w:rStyle w:val="transsent"/>
          <w:rFonts w:cs="Arial"/>
          <w:sz w:val="30"/>
          <w:szCs w:val="30"/>
        </w:rPr>
      </w:pPr>
      <w:r w:rsidRPr="002127DF">
        <w:rPr>
          <w:rStyle w:val="transsent"/>
          <w:rFonts w:hint="eastAsia"/>
          <w:sz w:val="30"/>
          <w:szCs w:val="30"/>
        </w:rPr>
        <w:lastRenderedPageBreak/>
        <w:t>根据</w:t>
      </w:r>
      <w:r w:rsidRPr="002127DF">
        <w:rPr>
          <w:rStyle w:val="transsent"/>
          <w:rFonts w:hint="eastAsia"/>
          <w:sz w:val="30"/>
          <w:szCs w:val="30"/>
        </w:rPr>
        <w:t>NIRI</w:t>
      </w:r>
      <w:r w:rsidRPr="002127DF">
        <w:rPr>
          <w:rStyle w:val="transsent"/>
          <w:rFonts w:hint="eastAsia"/>
          <w:sz w:val="30"/>
          <w:szCs w:val="30"/>
        </w:rPr>
        <w:t>在最近发布的一份新政策声明中提到，投资者关系（</w:t>
      </w:r>
      <w:r w:rsidRPr="002127DF">
        <w:rPr>
          <w:rStyle w:val="transsent"/>
          <w:rFonts w:hint="eastAsia"/>
          <w:sz w:val="30"/>
          <w:szCs w:val="30"/>
        </w:rPr>
        <w:t>IR</w:t>
      </w:r>
      <w:r w:rsidRPr="002127DF">
        <w:rPr>
          <w:rStyle w:val="transsent"/>
          <w:rFonts w:hint="eastAsia"/>
          <w:sz w:val="30"/>
          <w:szCs w:val="30"/>
        </w:rPr>
        <w:t>）团队应负责确保所披露的</w:t>
      </w:r>
      <w:r w:rsidRPr="002127DF">
        <w:rPr>
          <w:rStyle w:val="transsent"/>
          <w:rFonts w:cs="Arial" w:hint="eastAsia"/>
          <w:sz w:val="30"/>
          <w:szCs w:val="30"/>
        </w:rPr>
        <w:t>环境、社会和治理（</w:t>
      </w:r>
      <w:r w:rsidRPr="002127DF">
        <w:rPr>
          <w:rStyle w:val="transsent"/>
          <w:rFonts w:hint="eastAsia"/>
          <w:sz w:val="30"/>
          <w:szCs w:val="30"/>
        </w:rPr>
        <w:t>ESG</w:t>
      </w:r>
      <w:r w:rsidRPr="002127DF">
        <w:rPr>
          <w:rStyle w:val="transsent"/>
          <w:rFonts w:hint="eastAsia"/>
          <w:sz w:val="30"/>
          <w:szCs w:val="30"/>
        </w:rPr>
        <w:t>）信息是公司特有的，且与投资者相关，相关内容不会使投资者落入所使用的格式语言陷阱。此外，</w:t>
      </w:r>
      <w:r w:rsidRPr="002127DF">
        <w:rPr>
          <w:rStyle w:val="transsent"/>
          <w:rFonts w:hint="eastAsia"/>
          <w:sz w:val="30"/>
          <w:szCs w:val="30"/>
        </w:rPr>
        <w:t>IR</w:t>
      </w:r>
      <w:r w:rsidRPr="002127DF">
        <w:rPr>
          <w:rStyle w:val="transsent"/>
          <w:rFonts w:hint="eastAsia"/>
          <w:sz w:val="30"/>
          <w:szCs w:val="30"/>
        </w:rPr>
        <w:t>专业人士应该了解投资者想获取的</w:t>
      </w:r>
      <w:r w:rsidRPr="002127DF">
        <w:rPr>
          <w:rStyle w:val="transsent"/>
          <w:rFonts w:hint="eastAsia"/>
          <w:sz w:val="30"/>
          <w:szCs w:val="30"/>
        </w:rPr>
        <w:t>ESG</w:t>
      </w:r>
      <w:r w:rsidR="008D0381">
        <w:rPr>
          <w:rStyle w:val="transsent"/>
          <w:rFonts w:hint="eastAsia"/>
          <w:sz w:val="30"/>
          <w:szCs w:val="30"/>
        </w:rPr>
        <w:t>信息类型，并与内部利益相关者合作，确保信息获得</w:t>
      </w:r>
      <w:r w:rsidRPr="002127DF">
        <w:rPr>
          <w:rStyle w:val="transsent"/>
          <w:rFonts w:hint="eastAsia"/>
          <w:sz w:val="30"/>
          <w:szCs w:val="30"/>
        </w:rPr>
        <w:t>传递。</w:t>
      </w:r>
    </w:p>
    <w:p w:rsidR="00596D15" w:rsidRPr="002127DF" w:rsidRDefault="00596D15" w:rsidP="00596D15">
      <w:pPr>
        <w:spacing w:line="360" w:lineRule="auto"/>
        <w:ind w:firstLineChars="200" w:firstLine="600"/>
        <w:contextualSpacing/>
        <w:jc w:val="both"/>
        <w:rPr>
          <w:rStyle w:val="transsent"/>
          <w:rFonts w:cs="Arial"/>
          <w:sz w:val="30"/>
          <w:szCs w:val="30"/>
        </w:rPr>
      </w:pPr>
      <w:r w:rsidRPr="002127DF">
        <w:rPr>
          <w:rStyle w:val="transsent"/>
          <w:rFonts w:hint="eastAsia"/>
          <w:sz w:val="30"/>
          <w:szCs w:val="30"/>
        </w:rPr>
        <w:t>该政策声明提及，一方面，</w:t>
      </w:r>
      <w:r w:rsidRPr="002127DF">
        <w:rPr>
          <w:rStyle w:val="transsent"/>
          <w:rFonts w:hint="eastAsia"/>
          <w:sz w:val="30"/>
          <w:szCs w:val="30"/>
        </w:rPr>
        <w:t>NIRI</w:t>
      </w:r>
      <w:r w:rsidRPr="002127DF">
        <w:rPr>
          <w:rStyle w:val="transsent"/>
          <w:rFonts w:hint="eastAsia"/>
          <w:sz w:val="30"/>
          <w:szCs w:val="30"/>
        </w:rPr>
        <w:t>鼓励</w:t>
      </w:r>
      <w:r w:rsidRPr="002127DF">
        <w:rPr>
          <w:rStyle w:val="transsent"/>
          <w:rFonts w:hint="eastAsia"/>
          <w:sz w:val="30"/>
          <w:szCs w:val="30"/>
        </w:rPr>
        <w:t>IR</w:t>
      </w:r>
      <w:r w:rsidRPr="002127DF">
        <w:rPr>
          <w:rStyle w:val="transsent"/>
          <w:rFonts w:hint="eastAsia"/>
          <w:sz w:val="30"/>
          <w:szCs w:val="30"/>
        </w:rPr>
        <w:t>专业人士与公司法律顾问和内部业务伙伴开展密切合作，为即将披露的</w:t>
      </w:r>
      <w:r w:rsidRPr="002127DF">
        <w:rPr>
          <w:rStyle w:val="transsent"/>
          <w:rFonts w:hint="eastAsia"/>
          <w:sz w:val="30"/>
          <w:szCs w:val="30"/>
        </w:rPr>
        <w:t>ESG</w:t>
      </w:r>
      <w:r w:rsidRPr="002127DF">
        <w:rPr>
          <w:rStyle w:val="transsent"/>
          <w:rFonts w:hint="eastAsia"/>
          <w:sz w:val="30"/>
          <w:szCs w:val="30"/>
        </w:rPr>
        <w:t>信息以及在发布前应如何核实这些数据制定一致的方法。</w:t>
      </w:r>
      <w:r w:rsidRPr="002127DF">
        <w:rPr>
          <w:rStyle w:val="transsent"/>
          <w:rFonts w:cs="Arial" w:hint="eastAsia"/>
          <w:sz w:val="30"/>
          <w:szCs w:val="30"/>
        </w:rPr>
        <w:t>另一方面，</w:t>
      </w:r>
      <w:r w:rsidRPr="002127DF">
        <w:rPr>
          <w:rStyle w:val="transsent"/>
          <w:rFonts w:cs="Arial" w:hint="eastAsia"/>
          <w:sz w:val="30"/>
          <w:szCs w:val="30"/>
        </w:rPr>
        <w:t>IR</w:t>
      </w:r>
      <w:r w:rsidRPr="002127DF">
        <w:rPr>
          <w:rStyle w:val="transsent"/>
          <w:rFonts w:cs="Arial" w:hint="eastAsia"/>
          <w:sz w:val="30"/>
          <w:szCs w:val="30"/>
        </w:rPr>
        <w:t>专业人士还应与内部法律团队密切合作，减少对格式语言的使用。此外，</w:t>
      </w:r>
      <w:r w:rsidRPr="002127DF">
        <w:rPr>
          <w:rStyle w:val="transsent"/>
          <w:rFonts w:cs="Arial" w:hint="eastAsia"/>
          <w:sz w:val="30"/>
          <w:szCs w:val="30"/>
        </w:rPr>
        <w:t>ESG</w:t>
      </w:r>
      <w:r w:rsidRPr="002127DF">
        <w:rPr>
          <w:rStyle w:val="transsent"/>
          <w:rFonts w:cs="Arial" w:hint="eastAsia"/>
          <w:sz w:val="30"/>
          <w:szCs w:val="30"/>
        </w:rPr>
        <w:t>披露应基于业绩和公司具体情况，并应使投资者能够比较同行公司的进展</w:t>
      </w:r>
      <w:r w:rsidR="00E83CE2">
        <w:rPr>
          <w:rStyle w:val="transsent"/>
          <w:rFonts w:cs="Arial" w:hint="eastAsia"/>
          <w:sz w:val="30"/>
          <w:szCs w:val="30"/>
        </w:rPr>
        <w:t>情况</w:t>
      </w:r>
      <w:r w:rsidRPr="002127DF">
        <w:rPr>
          <w:rStyle w:val="transsent"/>
          <w:rFonts w:cs="Arial" w:hint="eastAsia"/>
          <w:sz w:val="30"/>
          <w:szCs w:val="30"/>
        </w:rPr>
        <w:t>。</w:t>
      </w:r>
    </w:p>
    <w:p w:rsidR="00596D15" w:rsidRPr="002127DF" w:rsidRDefault="0073767A" w:rsidP="00596D15">
      <w:pPr>
        <w:spacing w:line="360" w:lineRule="auto"/>
        <w:ind w:firstLineChars="200" w:firstLine="600"/>
        <w:contextualSpacing/>
        <w:jc w:val="both"/>
        <w:rPr>
          <w:rStyle w:val="transsent"/>
          <w:sz w:val="30"/>
          <w:szCs w:val="30"/>
        </w:rPr>
      </w:pPr>
      <w:r w:rsidRPr="002127DF">
        <w:rPr>
          <w:rStyle w:val="transsent"/>
          <w:rFonts w:cs="Arial" w:hint="eastAsia"/>
          <w:sz w:val="30"/>
          <w:szCs w:val="30"/>
        </w:rPr>
        <w:t>总体上</w:t>
      </w:r>
      <w:r w:rsidR="00596D15" w:rsidRPr="002127DF">
        <w:rPr>
          <w:rStyle w:val="transsent"/>
          <w:rFonts w:cs="Arial" w:hint="eastAsia"/>
          <w:sz w:val="30"/>
          <w:szCs w:val="30"/>
        </w:rPr>
        <w:t>，这份由</w:t>
      </w:r>
      <w:r w:rsidR="00596D15" w:rsidRPr="002127DF">
        <w:rPr>
          <w:rStyle w:val="transsent"/>
          <w:rFonts w:cs="Arial" w:hint="eastAsia"/>
          <w:sz w:val="30"/>
          <w:szCs w:val="30"/>
        </w:rPr>
        <w:t>NIRI</w:t>
      </w:r>
      <w:r w:rsidR="00596D15" w:rsidRPr="002127DF">
        <w:rPr>
          <w:rStyle w:val="transsent"/>
          <w:rFonts w:cs="Arial" w:hint="eastAsia"/>
          <w:sz w:val="30"/>
          <w:szCs w:val="30"/>
        </w:rPr>
        <w:t>董事会签署的政策声明倡导以发行方为主导的</w:t>
      </w:r>
      <w:r w:rsidR="00596D15" w:rsidRPr="002127DF">
        <w:rPr>
          <w:rStyle w:val="transsent"/>
          <w:rFonts w:cs="Arial" w:hint="eastAsia"/>
          <w:sz w:val="30"/>
          <w:szCs w:val="30"/>
        </w:rPr>
        <w:t>ESG</w:t>
      </w:r>
      <w:r w:rsidR="00596D15" w:rsidRPr="002127DF">
        <w:rPr>
          <w:rStyle w:val="transsent"/>
          <w:rFonts w:cs="Arial" w:hint="eastAsia"/>
          <w:sz w:val="30"/>
          <w:szCs w:val="30"/>
        </w:rPr>
        <w:t>披露方式。根据</w:t>
      </w:r>
      <w:r w:rsidR="00596D15" w:rsidRPr="002127DF">
        <w:rPr>
          <w:rStyle w:val="transsent"/>
          <w:rFonts w:cs="Arial" w:hint="eastAsia"/>
          <w:sz w:val="30"/>
          <w:szCs w:val="30"/>
        </w:rPr>
        <w:t>2014/95/EU</w:t>
      </w:r>
      <w:r w:rsidR="00596D15" w:rsidRPr="002127DF">
        <w:rPr>
          <w:rStyle w:val="transsent"/>
          <w:rFonts w:cs="Arial" w:hint="eastAsia"/>
          <w:sz w:val="30"/>
          <w:szCs w:val="30"/>
        </w:rPr>
        <w:t>指令，雇员人数超过</w:t>
      </w:r>
      <w:r w:rsidR="00596D15" w:rsidRPr="002127DF">
        <w:rPr>
          <w:rStyle w:val="transsent"/>
          <w:rFonts w:cs="Arial" w:hint="eastAsia"/>
          <w:sz w:val="30"/>
          <w:szCs w:val="30"/>
        </w:rPr>
        <w:t>500</w:t>
      </w:r>
      <w:r w:rsidR="00596D15" w:rsidRPr="002127DF">
        <w:rPr>
          <w:rStyle w:val="transsent"/>
          <w:rFonts w:cs="Arial" w:hint="eastAsia"/>
          <w:sz w:val="30"/>
          <w:szCs w:val="30"/>
        </w:rPr>
        <w:t>人的公司应当就特定环境和社会问题（包括环境保护、雇员待遇、尊重人权和公司董事会的多样性）提交报告。</w:t>
      </w:r>
    </w:p>
    <w:p w:rsidR="00596D15" w:rsidRPr="002127DF" w:rsidRDefault="00596D15" w:rsidP="00596D15">
      <w:pPr>
        <w:spacing w:line="360" w:lineRule="auto"/>
        <w:ind w:firstLineChars="200" w:firstLine="600"/>
        <w:contextualSpacing/>
        <w:jc w:val="both"/>
        <w:rPr>
          <w:rStyle w:val="transsent"/>
          <w:rFonts w:cs="Arial"/>
          <w:sz w:val="30"/>
          <w:szCs w:val="30"/>
        </w:rPr>
      </w:pPr>
      <w:r w:rsidRPr="002127DF">
        <w:rPr>
          <w:rStyle w:val="transsent"/>
          <w:rFonts w:cs="Arial" w:hint="eastAsia"/>
          <w:sz w:val="30"/>
          <w:szCs w:val="30"/>
        </w:rPr>
        <w:t>NIRI</w:t>
      </w:r>
      <w:r w:rsidRPr="002127DF">
        <w:rPr>
          <w:rStyle w:val="transsent"/>
          <w:rFonts w:cs="Arial" w:hint="eastAsia"/>
          <w:sz w:val="30"/>
          <w:szCs w:val="30"/>
        </w:rPr>
        <w:t>认为，</w:t>
      </w:r>
      <w:r w:rsidRPr="002127DF">
        <w:rPr>
          <w:rStyle w:val="transsent"/>
          <w:rFonts w:hint="eastAsia"/>
          <w:sz w:val="30"/>
          <w:szCs w:val="30"/>
        </w:rPr>
        <w:t>ESG</w:t>
      </w:r>
      <w:r w:rsidRPr="002127DF">
        <w:rPr>
          <w:rStyle w:val="transsent"/>
          <w:rFonts w:hint="eastAsia"/>
          <w:sz w:val="30"/>
          <w:szCs w:val="30"/>
        </w:rPr>
        <w:t>信息披露是一个对投资者越来越重要的领域，因此，</w:t>
      </w:r>
      <w:r w:rsidRPr="002127DF">
        <w:rPr>
          <w:rStyle w:val="transsent"/>
          <w:rFonts w:hint="eastAsia"/>
          <w:sz w:val="30"/>
          <w:szCs w:val="30"/>
        </w:rPr>
        <w:t>NIRI</w:t>
      </w:r>
      <w:r w:rsidRPr="002127DF">
        <w:rPr>
          <w:rStyle w:val="transsent"/>
          <w:rFonts w:hint="eastAsia"/>
          <w:sz w:val="30"/>
          <w:szCs w:val="30"/>
        </w:rPr>
        <w:t>董事会将定期重新审视这一领域。</w:t>
      </w:r>
    </w:p>
    <w:p w:rsidR="00627EB3" w:rsidRDefault="00596D15" w:rsidP="00FC0BC5">
      <w:pPr>
        <w:spacing w:line="360" w:lineRule="auto"/>
        <w:ind w:firstLineChars="200" w:firstLine="600"/>
        <w:rPr>
          <w:rStyle w:val="a8"/>
          <w:rFonts w:cs="Arial"/>
          <w:color w:val="auto"/>
          <w:sz w:val="30"/>
          <w:szCs w:val="30"/>
          <w:u w:val="none"/>
        </w:rPr>
      </w:pPr>
      <w:r w:rsidRPr="002127DF">
        <w:rPr>
          <w:rStyle w:val="a8"/>
          <w:rFonts w:cs="Arial" w:hint="eastAsia"/>
          <w:color w:val="auto"/>
          <w:sz w:val="30"/>
          <w:szCs w:val="30"/>
          <w:u w:val="none"/>
        </w:rPr>
        <w:t>网页链接</w:t>
      </w:r>
      <w:r w:rsidR="00FC0BC5">
        <w:rPr>
          <w:rStyle w:val="a8"/>
          <w:rFonts w:cs="Arial" w:hint="eastAsia"/>
          <w:color w:val="auto"/>
          <w:sz w:val="30"/>
          <w:szCs w:val="30"/>
          <w:u w:val="none"/>
        </w:rPr>
        <w:t>：</w:t>
      </w:r>
    </w:p>
    <w:p w:rsidR="00596D15" w:rsidRPr="00FC0BC5" w:rsidRDefault="009D05E8" w:rsidP="00627EB3">
      <w:pPr>
        <w:spacing w:line="360" w:lineRule="auto"/>
        <w:ind w:firstLineChars="200" w:firstLine="480"/>
        <w:rPr>
          <w:rFonts w:cs="Arial"/>
          <w:sz w:val="30"/>
          <w:szCs w:val="30"/>
        </w:rPr>
      </w:pPr>
      <w:hyperlink r:id="rId23" w:history="1">
        <w:r w:rsidR="00596D15" w:rsidRPr="002127DF">
          <w:rPr>
            <w:rStyle w:val="a8"/>
            <w:rFonts w:cs="Arial"/>
            <w:sz w:val="30"/>
            <w:szCs w:val="30"/>
          </w:rPr>
          <w:t>https://www.irmagazine.com/reporting/niri-encourages-disclosure-company-specific-esg-metrics</w:t>
        </w:r>
      </w:hyperlink>
    </w:p>
    <w:p w:rsidR="002A11A8" w:rsidRPr="002127DF" w:rsidRDefault="00596D15" w:rsidP="002709A0">
      <w:pPr>
        <w:jc w:val="right"/>
        <w:rPr>
          <w:b/>
          <w:sz w:val="30"/>
          <w:szCs w:val="30"/>
        </w:rPr>
      </w:pPr>
      <w:r w:rsidRPr="002127DF">
        <w:rPr>
          <w:rStyle w:val="a8"/>
          <w:rFonts w:eastAsia="仿宋" w:hint="eastAsia"/>
          <w:b/>
          <w:color w:val="auto"/>
          <w:sz w:val="30"/>
          <w:szCs w:val="30"/>
          <w:u w:val="none"/>
        </w:rPr>
        <w:t>﹝</w:t>
      </w:r>
      <w:r w:rsidRPr="002127DF">
        <w:rPr>
          <w:rStyle w:val="a8"/>
          <w:rFonts w:hint="eastAsia"/>
          <w:b/>
          <w:color w:val="auto"/>
          <w:sz w:val="30"/>
          <w:szCs w:val="30"/>
          <w:u w:val="none"/>
        </w:rPr>
        <w:t>本期终</w:t>
      </w:r>
      <w:r w:rsidRPr="002127DF">
        <w:rPr>
          <w:rStyle w:val="a8"/>
          <w:rFonts w:eastAsia="仿宋" w:hint="eastAsia"/>
          <w:b/>
          <w:color w:val="auto"/>
          <w:sz w:val="30"/>
          <w:szCs w:val="30"/>
          <w:u w:val="none"/>
        </w:rPr>
        <w:t>﹞</w:t>
      </w:r>
    </w:p>
    <w:sectPr w:rsidR="002A11A8" w:rsidRPr="002127DF" w:rsidSect="00596D15">
      <w:footerReference w:type="default" r:id="rId24"/>
      <w:pgSz w:w="11900" w:h="16840"/>
      <w:pgMar w:top="1440" w:right="1800" w:bottom="1440" w:left="1800"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0386" w:rsidRDefault="00B70386" w:rsidP="00162524">
      <w:r>
        <w:separator/>
      </w:r>
    </w:p>
  </w:endnote>
  <w:endnote w:type="continuationSeparator" w:id="0">
    <w:p w:rsidR="00B70386" w:rsidRDefault="00B70386" w:rsidP="001625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等线">
    <w:panose1 w:val="02010600030101010101"/>
    <w:charset w:val="86"/>
    <w:family w:val="auto"/>
    <w:pitch w:val="variable"/>
    <w:sig w:usb0="A00002BF" w:usb1="38CF7CFA" w:usb2="00000016" w:usb3="00000000" w:csb0="0004000F" w:csb1="00000000"/>
  </w:font>
  <w:font w:name="Mongolian Baiti">
    <w:panose1 w:val="03000500000000000000"/>
    <w:charset w:val="00"/>
    <w:family w:val="script"/>
    <w:pitch w:val="variable"/>
    <w:sig w:usb0="80000023" w:usb1="00000000" w:usb2="00020000" w:usb3="00000000" w:csb0="00000001" w:csb1="00000000"/>
  </w:font>
  <w:font w:name="Arial">
    <w:panose1 w:val="020B0604020202020204"/>
    <w:charset w:val="00"/>
    <w:family w:val="swiss"/>
    <w:pitch w:val="variable"/>
    <w:sig w:usb0="E0002AFF" w:usb1="C0007843" w:usb2="00000009" w:usb3="00000000" w:csb0="000001FF" w:csb1="00000000"/>
  </w:font>
  <w:font w:name="华文新魏">
    <w:panose1 w:val="02010800040101010101"/>
    <w:charset w:val="86"/>
    <w:family w:val="auto"/>
    <w:pitch w:val="variable"/>
    <w:sig w:usb0="00000001" w:usb1="080F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53616"/>
      <w:docPartObj>
        <w:docPartGallery w:val="AutoText"/>
      </w:docPartObj>
    </w:sdtPr>
    <w:sdtContent>
      <w:p w:rsidR="0073767A" w:rsidRDefault="009D05E8">
        <w:pPr>
          <w:pStyle w:val="a6"/>
          <w:jc w:val="center"/>
        </w:pPr>
        <w:fldSimple w:instr=" PAGE   \* MERGEFORMAT ">
          <w:r w:rsidR="00271F14" w:rsidRPr="00271F14">
            <w:rPr>
              <w:noProof/>
              <w:lang w:val="zh-CN"/>
            </w:rPr>
            <w:t>-</w:t>
          </w:r>
          <w:r w:rsidR="00271F14">
            <w:rPr>
              <w:noProof/>
            </w:rPr>
            <w:t xml:space="preserve"> 29 -</w:t>
          </w:r>
        </w:fldSimple>
      </w:p>
    </w:sdtContent>
  </w:sdt>
  <w:p w:rsidR="0073767A" w:rsidRDefault="0073767A">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0386" w:rsidRDefault="00B70386" w:rsidP="00162524">
      <w:r>
        <w:separator/>
      </w:r>
    </w:p>
  </w:footnote>
  <w:footnote w:type="continuationSeparator" w:id="0">
    <w:p w:rsidR="00B70386" w:rsidRDefault="00B70386" w:rsidP="0016252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4818">
      <o:colormenu v:ext="edit" fillcolor="none [660]"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96D15"/>
    <w:rsid w:val="00005819"/>
    <w:rsid w:val="00025429"/>
    <w:rsid w:val="00044DBE"/>
    <w:rsid w:val="000577BA"/>
    <w:rsid w:val="0009220B"/>
    <w:rsid w:val="000B2A9E"/>
    <w:rsid w:val="00127C2A"/>
    <w:rsid w:val="00140232"/>
    <w:rsid w:val="00162524"/>
    <w:rsid w:val="00197499"/>
    <w:rsid w:val="00202090"/>
    <w:rsid w:val="002127DF"/>
    <w:rsid w:val="00215560"/>
    <w:rsid w:val="002709A0"/>
    <w:rsid w:val="00271F14"/>
    <w:rsid w:val="002A11A8"/>
    <w:rsid w:val="002A1775"/>
    <w:rsid w:val="002A4A5A"/>
    <w:rsid w:val="002E3FC0"/>
    <w:rsid w:val="003873B4"/>
    <w:rsid w:val="003961A3"/>
    <w:rsid w:val="003A6FF1"/>
    <w:rsid w:val="00410FF1"/>
    <w:rsid w:val="00473320"/>
    <w:rsid w:val="00473A62"/>
    <w:rsid w:val="00485222"/>
    <w:rsid w:val="004C25C8"/>
    <w:rsid w:val="00554FCC"/>
    <w:rsid w:val="00596D15"/>
    <w:rsid w:val="00627EB3"/>
    <w:rsid w:val="006B5BF4"/>
    <w:rsid w:val="006C59DD"/>
    <w:rsid w:val="006D0DC4"/>
    <w:rsid w:val="006D3123"/>
    <w:rsid w:val="006E783B"/>
    <w:rsid w:val="006F0FE4"/>
    <w:rsid w:val="006F3890"/>
    <w:rsid w:val="0073767A"/>
    <w:rsid w:val="007B4FBA"/>
    <w:rsid w:val="007B66DB"/>
    <w:rsid w:val="008447DB"/>
    <w:rsid w:val="008524EC"/>
    <w:rsid w:val="00867783"/>
    <w:rsid w:val="0088385B"/>
    <w:rsid w:val="008860BB"/>
    <w:rsid w:val="00894B05"/>
    <w:rsid w:val="008D0381"/>
    <w:rsid w:val="008F2738"/>
    <w:rsid w:val="009010A9"/>
    <w:rsid w:val="009D05E8"/>
    <w:rsid w:val="00A638C5"/>
    <w:rsid w:val="00A64827"/>
    <w:rsid w:val="00A872DE"/>
    <w:rsid w:val="00AE0E18"/>
    <w:rsid w:val="00B33E6C"/>
    <w:rsid w:val="00B40F0A"/>
    <w:rsid w:val="00B70386"/>
    <w:rsid w:val="00B77F75"/>
    <w:rsid w:val="00BC7482"/>
    <w:rsid w:val="00BD5587"/>
    <w:rsid w:val="00BF386D"/>
    <w:rsid w:val="00C04F66"/>
    <w:rsid w:val="00C134CC"/>
    <w:rsid w:val="00C20DBC"/>
    <w:rsid w:val="00C629CA"/>
    <w:rsid w:val="00C770DD"/>
    <w:rsid w:val="00CC6AFD"/>
    <w:rsid w:val="00D36882"/>
    <w:rsid w:val="00D52872"/>
    <w:rsid w:val="00D642CF"/>
    <w:rsid w:val="00DD6773"/>
    <w:rsid w:val="00DE3AB2"/>
    <w:rsid w:val="00E2460E"/>
    <w:rsid w:val="00E83CE2"/>
    <w:rsid w:val="00E97D93"/>
    <w:rsid w:val="00EA08E1"/>
    <w:rsid w:val="00EA0F24"/>
    <w:rsid w:val="00EE7256"/>
    <w:rsid w:val="00F56904"/>
    <w:rsid w:val="00FA4492"/>
    <w:rsid w:val="00FC0BC5"/>
    <w:rsid w:val="00FE363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4818">
      <o:colormenu v:ext="edit" fillcolor="none [660]" strokecolor="none"/>
    </o:shapedefaults>
    <o:shapelayout v:ext="edit">
      <o:idmap v:ext="edit" data="1"/>
      <o:rules v:ext="edit">
        <o:r id="V:Rule2" type="connector" idref="#自选图形 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FollowedHyperlink"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6D15"/>
    <w:rPr>
      <w:rFonts w:ascii="Times New Roman" w:hAnsi="Times New Roman" w:cs="Times New Roman"/>
      <w:kern w:val="0"/>
    </w:rPr>
  </w:style>
  <w:style w:type="paragraph" w:styleId="1">
    <w:name w:val="heading 1"/>
    <w:basedOn w:val="a"/>
    <w:next w:val="a"/>
    <w:link w:val="1Char"/>
    <w:uiPriority w:val="9"/>
    <w:qFormat/>
    <w:rsid w:val="00596D15"/>
    <w:pPr>
      <w:keepNext/>
      <w:keepLines/>
      <w:spacing w:before="340" w:after="330" w:line="578" w:lineRule="auto"/>
      <w:outlineLvl w:val="0"/>
    </w:pPr>
    <w:rPr>
      <w:b/>
      <w:bCs/>
      <w:kern w:val="44"/>
      <w:sz w:val="44"/>
      <w:szCs w:val="44"/>
    </w:rPr>
  </w:style>
  <w:style w:type="paragraph" w:styleId="2">
    <w:name w:val="heading 2"/>
    <w:basedOn w:val="a"/>
    <w:next w:val="a"/>
    <w:link w:val="2Char"/>
    <w:uiPriority w:val="9"/>
    <w:semiHidden/>
    <w:unhideWhenUsed/>
    <w:qFormat/>
    <w:rsid w:val="00596D15"/>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qFormat/>
    <w:rsid w:val="00596D15"/>
    <w:pPr>
      <w:spacing w:before="100" w:beforeAutospacing="1" w:after="100" w:afterAutospacing="1"/>
      <w:outlineLvl w:val="2"/>
    </w:pPr>
    <w:rPr>
      <w:rFonts w:ascii="宋体" w:eastAsia="宋体" w:hAnsi="宋体" w:cs="宋体"/>
      <w:b/>
      <w:bCs/>
      <w:sz w:val="27"/>
      <w:szCs w:val="27"/>
    </w:rPr>
  </w:style>
  <w:style w:type="paragraph" w:styleId="4">
    <w:name w:val="heading 4"/>
    <w:basedOn w:val="a"/>
    <w:next w:val="a"/>
    <w:link w:val="4Char"/>
    <w:uiPriority w:val="9"/>
    <w:semiHidden/>
    <w:unhideWhenUsed/>
    <w:qFormat/>
    <w:rsid w:val="00596D15"/>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A1775"/>
    <w:pPr>
      <w:widowControl w:val="0"/>
      <w:ind w:firstLineChars="200" w:firstLine="420"/>
      <w:jc w:val="both"/>
    </w:pPr>
    <w:rPr>
      <w:rFonts w:asciiTheme="minorHAnsi" w:hAnsiTheme="minorHAnsi" w:cstheme="minorBidi"/>
      <w:kern w:val="2"/>
    </w:rPr>
  </w:style>
  <w:style w:type="character" w:customStyle="1" w:styleId="1Char">
    <w:name w:val="标题 1 Char"/>
    <w:basedOn w:val="a0"/>
    <w:link w:val="1"/>
    <w:uiPriority w:val="9"/>
    <w:qFormat/>
    <w:rsid w:val="00596D15"/>
    <w:rPr>
      <w:rFonts w:ascii="Times New Roman" w:hAnsi="Times New Roman" w:cs="Times New Roman"/>
      <w:b/>
      <w:bCs/>
      <w:kern w:val="44"/>
      <w:sz w:val="44"/>
      <w:szCs w:val="44"/>
    </w:rPr>
  </w:style>
  <w:style w:type="character" w:customStyle="1" w:styleId="2Char">
    <w:name w:val="标题 2 Char"/>
    <w:basedOn w:val="a0"/>
    <w:link w:val="2"/>
    <w:uiPriority w:val="9"/>
    <w:semiHidden/>
    <w:rsid w:val="00596D15"/>
    <w:rPr>
      <w:rFonts w:asciiTheme="majorHAnsi" w:eastAsiaTheme="majorEastAsia" w:hAnsiTheme="majorHAnsi" w:cstheme="majorBidi"/>
      <w:b/>
      <w:bCs/>
      <w:kern w:val="0"/>
      <w:sz w:val="32"/>
      <w:szCs w:val="32"/>
    </w:rPr>
  </w:style>
  <w:style w:type="character" w:customStyle="1" w:styleId="3Char">
    <w:name w:val="标题 3 Char"/>
    <w:basedOn w:val="a0"/>
    <w:link w:val="3"/>
    <w:uiPriority w:val="9"/>
    <w:rsid w:val="00596D15"/>
    <w:rPr>
      <w:rFonts w:ascii="宋体" w:eastAsia="宋体" w:hAnsi="宋体" w:cs="宋体"/>
      <w:b/>
      <w:bCs/>
      <w:kern w:val="0"/>
      <w:sz w:val="27"/>
      <w:szCs w:val="27"/>
    </w:rPr>
  </w:style>
  <w:style w:type="character" w:customStyle="1" w:styleId="4Char">
    <w:name w:val="标题 4 Char"/>
    <w:basedOn w:val="a0"/>
    <w:link w:val="4"/>
    <w:uiPriority w:val="9"/>
    <w:semiHidden/>
    <w:qFormat/>
    <w:rsid w:val="00596D15"/>
    <w:rPr>
      <w:rFonts w:asciiTheme="majorHAnsi" w:eastAsiaTheme="majorEastAsia" w:hAnsiTheme="majorHAnsi" w:cstheme="majorBidi"/>
      <w:b/>
      <w:bCs/>
      <w:kern w:val="0"/>
      <w:sz w:val="28"/>
      <w:szCs w:val="28"/>
    </w:rPr>
  </w:style>
  <w:style w:type="character" w:customStyle="1" w:styleId="Char">
    <w:name w:val="文档结构图 Char"/>
    <w:basedOn w:val="a0"/>
    <w:link w:val="a4"/>
    <w:uiPriority w:val="99"/>
    <w:semiHidden/>
    <w:rsid w:val="00596D15"/>
    <w:rPr>
      <w:rFonts w:ascii="宋体" w:eastAsia="宋体" w:hAnsi="Times New Roman" w:cs="Times New Roman"/>
      <w:kern w:val="0"/>
      <w:sz w:val="18"/>
      <w:szCs w:val="18"/>
    </w:rPr>
  </w:style>
  <w:style w:type="paragraph" w:styleId="a4">
    <w:name w:val="Document Map"/>
    <w:basedOn w:val="a"/>
    <w:link w:val="Char"/>
    <w:uiPriority w:val="99"/>
    <w:semiHidden/>
    <w:unhideWhenUsed/>
    <w:rsid w:val="00596D15"/>
    <w:rPr>
      <w:rFonts w:ascii="宋体" w:eastAsia="宋体"/>
      <w:sz w:val="18"/>
      <w:szCs w:val="18"/>
    </w:rPr>
  </w:style>
  <w:style w:type="character" w:customStyle="1" w:styleId="Char0">
    <w:name w:val="批注框文本 Char"/>
    <w:basedOn w:val="a0"/>
    <w:link w:val="a5"/>
    <w:uiPriority w:val="99"/>
    <w:semiHidden/>
    <w:qFormat/>
    <w:rsid w:val="00596D15"/>
    <w:rPr>
      <w:rFonts w:ascii="Times New Roman" w:hAnsi="Times New Roman" w:cs="Times New Roman"/>
      <w:kern w:val="0"/>
      <w:sz w:val="18"/>
      <w:szCs w:val="18"/>
    </w:rPr>
  </w:style>
  <w:style w:type="paragraph" w:styleId="a5">
    <w:name w:val="Balloon Text"/>
    <w:basedOn w:val="a"/>
    <w:link w:val="Char0"/>
    <w:uiPriority w:val="99"/>
    <w:semiHidden/>
    <w:unhideWhenUsed/>
    <w:rsid w:val="00596D15"/>
    <w:rPr>
      <w:sz w:val="18"/>
      <w:szCs w:val="18"/>
    </w:rPr>
  </w:style>
  <w:style w:type="character" w:customStyle="1" w:styleId="Char1">
    <w:name w:val="页脚 Char"/>
    <w:basedOn w:val="a0"/>
    <w:link w:val="a6"/>
    <w:uiPriority w:val="99"/>
    <w:rsid w:val="00596D15"/>
    <w:rPr>
      <w:rFonts w:ascii="Times New Roman" w:hAnsi="Times New Roman" w:cs="Times New Roman"/>
      <w:kern w:val="0"/>
      <w:sz w:val="18"/>
      <w:szCs w:val="18"/>
    </w:rPr>
  </w:style>
  <w:style w:type="paragraph" w:styleId="a6">
    <w:name w:val="footer"/>
    <w:basedOn w:val="a"/>
    <w:link w:val="Char1"/>
    <w:uiPriority w:val="99"/>
    <w:unhideWhenUsed/>
    <w:rsid w:val="00596D15"/>
    <w:pPr>
      <w:tabs>
        <w:tab w:val="center" w:pos="4153"/>
        <w:tab w:val="right" w:pos="8306"/>
      </w:tabs>
      <w:snapToGrid w:val="0"/>
    </w:pPr>
    <w:rPr>
      <w:sz w:val="18"/>
      <w:szCs w:val="18"/>
    </w:rPr>
  </w:style>
  <w:style w:type="character" w:customStyle="1" w:styleId="Char2">
    <w:name w:val="页眉 Char"/>
    <w:basedOn w:val="a0"/>
    <w:link w:val="a7"/>
    <w:uiPriority w:val="99"/>
    <w:semiHidden/>
    <w:rsid w:val="00596D15"/>
    <w:rPr>
      <w:rFonts w:ascii="Times New Roman" w:hAnsi="Times New Roman" w:cs="Times New Roman"/>
      <w:kern w:val="0"/>
      <w:sz w:val="18"/>
      <w:szCs w:val="18"/>
    </w:rPr>
  </w:style>
  <w:style w:type="paragraph" w:styleId="a7">
    <w:name w:val="header"/>
    <w:basedOn w:val="a"/>
    <w:link w:val="Char2"/>
    <w:uiPriority w:val="99"/>
    <w:semiHidden/>
    <w:unhideWhenUsed/>
    <w:rsid w:val="00596D15"/>
    <w:pPr>
      <w:pBdr>
        <w:bottom w:val="single" w:sz="6" w:space="1" w:color="auto"/>
      </w:pBdr>
      <w:tabs>
        <w:tab w:val="center" w:pos="4153"/>
        <w:tab w:val="right" w:pos="8306"/>
      </w:tabs>
      <w:snapToGrid w:val="0"/>
      <w:jc w:val="center"/>
    </w:pPr>
    <w:rPr>
      <w:sz w:val="18"/>
      <w:szCs w:val="18"/>
    </w:rPr>
  </w:style>
  <w:style w:type="character" w:styleId="a8">
    <w:name w:val="Hyperlink"/>
    <w:basedOn w:val="a0"/>
    <w:uiPriority w:val="99"/>
    <w:unhideWhenUsed/>
    <w:rsid w:val="00596D15"/>
    <w:rPr>
      <w:color w:val="0563C1" w:themeColor="hyperlink"/>
      <w:u w:val="single"/>
    </w:rPr>
  </w:style>
  <w:style w:type="character" w:customStyle="1" w:styleId="tlid-translation">
    <w:name w:val="tlid-translation"/>
    <w:basedOn w:val="a0"/>
    <w:rsid w:val="00596D15"/>
  </w:style>
  <w:style w:type="character" w:styleId="a9">
    <w:name w:val="Emphasis"/>
    <w:basedOn w:val="a0"/>
    <w:uiPriority w:val="20"/>
    <w:qFormat/>
    <w:rsid w:val="00596D15"/>
    <w:rPr>
      <w:i/>
      <w:iCs/>
    </w:rPr>
  </w:style>
  <w:style w:type="character" w:styleId="aa">
    <w:name w:val="Strong"/>
    <w:basedOn w:val="a0"/>
    <w:uiPriority w:val="22"/>
    <w:qFormat/>
    <w:rsid w:val="00596D15"/>
    <w:rPr>
      <w:b/>
      <w:bCs/>
    </w:rPr>
  </w:style>
  <w:style w:type="character" w:customStyle="1" w:styleId="transsent">
    <w:name w:val="transsent"/>
    <w:basedOn w:val="a0"/>
    <w:qFormat/>
    <w:rsid w:val="00596D15"/>
  </w:style>
  <w:style w:type="character" w:styleId="ab">
    <w:name w:val="FollowedHyperlink"/>
    <w:basedOn w:val="a0"/>
    <w:uiPriority w:val="99"/>
    <w:semiHidden/>
    <w:unhideWhenUsed/>
    <w:qFormat/>
    <w:rsid w:val="007B66DB"/>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ederalreserve.gov/newsevents/pressreleases/other20190116a.htm" TargetMode="External"/><Relationship Id="rId13" Type="http://schemas.openxmlformats.org/officeDocument/2006/relationships/hyperlink" Target="https://www.iosco.org/library/pubdocs/pdf/IOSCOPD619.pdf" TargetMode="External"/><Relationship Id="rId18" Type="http://schemas.openxmlformats.org/officeDocument/2006/relationships/hyperlink" Target="https://www.esma.europa.eu/sites/default/files/library/esma71-99-1084_advice_on_crypto_assets.pdf"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www.bursamalaysia.com/corporate/media-centre/media-releases/5949" TargetMode="External"/><Relationship Id="rId7" Type="http://schemas.openxmlformats.org/officeDocument/2006/relationships/hyperlink" Target="https://www.jumpstart.org/jumptart-launches-checkyourschool-campaign/" TargetMode="External"/><Relationship Id="rId12" Type="http://schemas.openxmlformats.org/officeDocument/2006/relationships/hyperlink" Target="http://www.twse.com.tw/zh/news/newsDetail/ff80808167ee6fdf0168783e6b1d034d" TargetMode="External"/><Relationship Id="rId17" Type="http://schemas.openxmlformats.org/officeDocument/2006/relationships/hyperlink" Target="https://www.esma.europa.eu/press-news/esma-news/esma-report-finds-investment-product-performance-highly-impacted-charges"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esma.europa.eu/press-news/esma-news/esma-publishes-its-2019-risk-assessment-work-programme" TargetMode="External"/><Relationship Id="rId20" Type="http://schemas.openxmlformats.org/officeDocument/2006/relationships/hyperlink" Target="https://www.sipc.org/news-and-media/news-releases/20190222" TargetMode="External"/><Relationship Id="rId1" Type="http://schemas.openxmlformats.org/officeDocument/2006/relationships/styles" Target="styles.xml"/><Relationship Id="rId6" Type="http://schemas.openxmlformats.org/officeDocument/2006/relationships/hyperlink" Target="https://www.world-exchanges.org/news/articles/world-federation-exchanges-publishes-second-report-factors-drive-international-investor-participation-emerging-markets1" TargetMode="External"/><Relationship Id="rId11" Type="http://schemas.openxmlformats.org/officeDocument/2006/relationships/hyperlink" Target="http://www.bursamalaysia.com/corporate/media-centre/media-releases/5941" TargetMode="External"/><Relationship Id="rId24"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yperlink" Target="https://www.esma.europa.eu/press-news/esma-news/esma-renews-binary-options-prohibition-further-three-months-2-april-2019" TargetMode="External"/><Relationship Id="rId23" Type="http://schemas.openxmlformats.org/officeDocument/2006/relationships/hyperlink" Target="https://www.irmagazine.com/reporting/niri-encourages-disclosure-company-specific-esg-metrics" TargetMode="External"/><Relationship Id="rId10" Type="http://schemas.openxmlformats.org/officeDocument/2006/relationships/hyperlink" Target="https://www.ifec.org.hk/sc/press-release/pr-20190219.html" TargetMode="External"/><Relationship Id="rId19" Type="http://schemas.openxmlformats.org/officeDocument/2006/relationships/hyperlink" Target="https://www.cftc.gov/PressRoom/PressReleases/7868-19" TargetMode="External"/><Relationship Id="rId4" Type="http://schemas.openxmlformats.org/officeDocument/2006/relationships/footnotes" Target="footnotes.xml"/><Relationship Id="rId9" Type="http://schemas.openxmlformats.org/officeDocument/2006/relationships/hyperlink" Target="https://www.ifec.org.hk/sc/press-release/pr-20190117.html" TargetMode="External"/><Relationship Id="rId14" Type="http://schemas.openxmlformats.org/officeDocument/2006/relationships/hyperlink" Target="https://www.iosco.org/news/pdf/IOSCONEWS522.pdf" TargetMode="External"/><Relationship Id="rId22" Type="http://schemas.openxmlformats.org/officeDocument/2006/relationships/hyperlink" Target="https://www.niri.org/about-niri/news-media/press-releases/niri-releases-new-esg-policy-statemen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公文格式">
      <a:majorFont>
        <a:latin typeface="Times New Roman"/>
        <a:ea typeface="黑体"/>
        <a:cs typeface=""/>
      </a:majorFont>
      <a:minorFont>
        <a:latin typeface="Times New Roman"/>
        <a:ea typeface="仿宋_GB2312"/>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691</TotalTime>
  <Pages>29</Pages>
  <Words>2445</Words>
  <Characters>13939</Characters>
  <Application>Microsoft Office Word</Application>
  <DocSecurity>0</DocSecurity>
  <Lines>116</Lines>
  <Paragraphs>32</Paragraphs>
  <ScaleCrop>false</ScaleCrop>
  <Company>Microsoft</Company>
  <LinksUpToDate>false</LinksUpToDate>
  <CharactersWithSpaces>16352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sse</dc:creator>
  <cp:lastModifiedBy>sse</cp:lastModifiedBy>
  <cp:revision>13</cp:revision>
  <cp:lastPrinted>2019-03-29T06:38:00Z</cp:lastPrinted>
  <dcterms:created xsi:type="dcterms:W3CDTF">2019-03-27T12:25:00Z</dcterms:created>
  <dcterms:modified xsi:type="dcterms:W3CDTF">2019-04-02T00:34:00Z</dcterms:modified>
</cp:coreProperties>
</file>